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8D9617">
      <w:pPr>
        <w:pStyle w:val="4"/>
        <w:kinsoku w:val="0"/>
        <w:overflowPunct w:val="0"/>
        <w:spacing w:before="0"/>
        <w:ind w:left="0" w:right="275"/>
        <w:jc w:val="center"/>
        <w:rPr>
          <w:rFonts w:ascii="Times New Roman" w:eastAsia="黑体" w:cs="Times New Roman"/>
          <w:spacing w:val="-1"/>
          <w:sz w:val="44"/>
          <w:szCs w:val="44"/>
        </w:rPr>
      </w:pPr>
    </w:p>
    <w:p w14:paraId="256797AA">
      <w:pPr>
        <w:pStyle w:val="4"/>
        <w:kinsoku w:val="0"/>
        <w:overflowPunct w:val="0"/>
        <w:spacing w:before="0"/>
        <w:ind w:left="0" w:right="275"/>
        <w:jc w:val="center"/>
        <w:rPr>
          <w:rFonts w:ascii="Times New Roman" w:eastAsia="黑体" w:cs="Times New Roman"/>
          <w:color w:val="auto"/>
          <w:spacing w:val="-1"/>
          <w:sz w:val="44"/>
          <w:szCs w:val="44"/>
        </w:rPr>
      </w:pPr>
    </w:p>
    <w:p w14:paraId="65778971">
      <w:pPr>
        <w:pStyle w:val="4"/>
        <w:kinsoku w:val="0"/>
        <w:overflowPunct w:val="0"/>
        <w:spacing w:before="0"/>
        <w:ind w:left="0" w:right="275"/>
        <w:jc w:val="center"/>
        <w:rPr>
          <w:rFonts w:ascii="Times New Roman" w:eastAsia="仿宋" w:cs="Times New Roman"/>
          <w:color w:val="auto"/>
          <w:spacing w:val="-1"/>
          <w:sz w:val="44"/>
          <w:szCs w:val="44"/>
        </w:rPr>
      </w:pPr>
    </w:p>
    <w:p w14:paraId="5A43FF9D">
      <w:pPr>
        <w:pStyle w:val="4"/>
        <w:kinsoku w:val="0"/>
        <w:overflowPunct w:val="0"/>
        <w:spacing w:before="0"/>
        <w:ind w:left="0" w:right="275"/>
        <w:jc w:val="center"/>
        <w:rPr>
          <w:rFonts w:ascii="Times New Roman" w:eastAsia="仿宋" w:cs="Times New Roman"/>
          <w:color w:val="auto"/>
          <w:spacing w:val="-1"/>
          <w:sz w:val="44"/>
          <w:szCs w:val="44"/>
        </w:rPr>
      </w:pPr>
    </w:p>
    <w:p w14:paraId="107CC301">
      <w:pPr>
        <w:pStyle w:val="4"/>
        <w:kinsoku w:val="0"/>
        <w:overflowPunct w:val="0"/>
        <w:spacing w:before="0"/>
        <w:ind w:left="0" w:right="275"/>
        <w:jc w:val="center"/>
        <w:rPr>
          <w:rFonts w:ascii="Times New Roman" w:eastAsia="仿宋" w:cs="Times New Roman"/>
          <w:color w:val="auto"/>
          <w:spacing w:val="-1"/>
          <w:sz w:val="44"/>
          <w:szCs w:val="44"/>
        </w:rPr>
      </w:pPr>
    </w:p>
    <w:p w14:paraId="5080F1A2">
      <w:pPr>
        <w:pStyle w:val="4"/>
        <w:kinsoku w:val="0"/>
        <w:overflowPunct w:val="0"/>
        <w:spacing w:before="0"/>
        <w:ind w:left="0" w:right="275"/>
        <w:jc w:val="center"/>
        <w:rPr>
          <w:rFonts w:ascii="Times New Roman" w:eastAsia="仿宋" w:cs="Times New Roman"/>
          <w:color w:val="auto"/>
          <w:sz w:val="44"/>
          <w:szCs w:val="44"/>
        </w:rPr>
      </w:pPr>
      <w:r>
        <w:rPr>
          <w:rFonts w:ascii="Times New Roman" w:eastAsia="仿宋" w:cs="Times New Roman"/>
          <w:color w:val="auto"/>
          <w:spacing w:val="-1"/>
          <w:sz w:val="44"/>
          <w:szCs w:val="44"/>
        </w:rPr>
        <w:t>建设项目竣工环境保护验收调查表</w:t>
      </w:r>
    </w:p>
    <w:p w14:paraId="507D8121">
      <w:pPr>
        <w:pStyle w:val="4"/>
        <w:kinsoku w:val="0"/>
        <w:overflowPunct w:val="0"/>
        <w:spacing w:before="0"/>
        <w:ind w:left="0"/>
        <w:rPr>
          <w:rFonts w:ascii="Times New Roman" w:eastAsia="仿宋" w:cs="Times New Roman"/>
          <w:color w:val="auto"/>
          <w:sz w:val="44"/>
          <w:szCs w:val="44"/>
        </w:rPr>
      </w:pPr>
    </w:p>
    <w:p w14:paraId="17451423">
      <w:pPr>
        <w:pStyle w:val="4"/>
        <w:kinsoku w:val="0"/>
        <w:overflowPunct w:val="0"/>
        <w:spacing w:before="0"/>
        <w:ind w:left="0"/>
        <w:rPr>
          <w:rFonts w:ascii="Times New Roman" w:eastAsia="仿宋" w:cs="Times New Roman"/>
          <w:color w:val="auto"/>
          <w:sz w:val="44"/>
          <w:szCs w:val="44"/>
        </w:rPr>
      </w:pPr>
    </w:p>
    <w:p w14:paraId="64BF22FE">
      <w:pPr>
        <w:pStyle w:val="4"/>
        <w:kinsoku w:val="0"/>
        <w:overflowPunct w:val="0"/>
        <w:spacing w:before="0"/>
        <w:ind w:left="0"/>
        <w:rPr>
          <w:rFonts w:ascii="Times New Roman" w:eastAsia="仿宋" w:cs="Times New Roman"/>
          <w:color w:val="auto"/>
          <w:sz w:val="44"/>
          <w:szCs w:val="44"/>
        </w:rPr>
      </w:pPr>
    </w:p>
    <w:p w14:paraId="4C042070">
      <w:pPr>
        <w:pStyle w:val="4"/>
        <w:kinsoku w:val="0"/>
        <w:overflowPunct w:val="0"/>
        <w:spacing w:before="0"/>
        <w:ind w:left="0"/>
        <w:rPr>
          <w:rFonts w:ascii="Times New Roman" w:eastAsia="仿宋" w:cs="Times New Roman"/>
          <w:color w:val="auto"/>
          <w:sz w:val="44"/>
          <w:szCs w:val="44"/>
        </w:rPr>
      </w:pPr>
    </w:p>
    <w:p w14:paraId="24FDFC42">
      <w:pPr>
        <w:pStyle w:val="4"/>
        <w:kinsoku w:val="0"/>
        <w:overflowPunct w:val="0"/>
        <w:spacing w:before="0"/>
        <w:ind w:left="0"/>
        <w:rPr>
          <w:rFonts w:ascii="Times New Roman" w:eastAsia="仿宋" w:cs="Times New Roman"/>
          <w:color w:val="auto"/>
          <w:sz w:val="44"/>
          <w:szCs w:val="44"/>
        </w:rPr>
      </w:pPr>
    </w:p>
    <w:p w14:paraId="13555B23">
      <w:pPr>
        <w:pStyle w:val="4"/>
        <w:kinsoku w:val="0"/>
        <w:overflowPunct w:val="0"/>
        <w:spacing w:before="0"/>
        <w:ind w:left="0"/>
        <w:rPr>
          <w:rFonts w:ascii="Times New Roman" w:eastAsia="仿宋" w:cs="Times New Roman"/>
          <w:color w:val="auto"/>
          <w:sz w:val="44"/>
          <w:szCs w:val="44"/>
        </w:rPr>
      </w:pPr>
    </w:p>
    <w:p w14:paraId="552A01EC">
      <w:pPr>
        <w:pStyle w:val="4"/>
        <w:kinsoku w:val="0"/>
        <w:overflowPunct w:val="0"/>
        <w:spacing w:before="0"/>
        <w:ind w:left="0"/>
        <w:rPr>
          <w:rFonts w:ascii="Times New Roman" w:eastAsia="仿宋" w:cs="Times New Roman"/>
          <w:color w:val="auto"/>
          <w:sz w:val="44"/>
          <w:szCs w:val="44"/>
        </w:rPr>
      </w:pPr>
    </w:p>
    <w:p w14:paraId="6D0054A2">
      <w:pPr>
        <w:pStyle w:val="4"/>
        <w:kinsoku w:val="0"/>
        <w:overflowPunct w:val="0"/>
        <w:spacing w:before="9"/>
        <w:ind w:left="0"/>
        <w:rPr>
          <w:rFonts w:ascii="Times New Roman" w:eastAsia="仿宋" w:cs="Times New Roman"/>
          <w:color w:val="auto"/>
          <w:sz w:val="43"/>
          <w:szCs w:val="43"/>
        </w:rPr>
      </w:pPr>
    </w:p>
    <w:p w14:paraId="0A3AF29E">
      <w:pPr>
        <w:pStyle w:val="4"/>
        <w:kinsoku w:val="0"/>
        <w:overflowPunct w:val="0"/>
        <w:spacing w:before="9"/>
        <w:ind w:left="0"/>
        <w:rPr>
          <w:rFonts w:ascii="Times New Roman" w:eastAsia="仿宋" w:cs="Times New Roman"/>
          <w:color w:val="auto"/>
          <w:sz w:val="43"/>
          <w:szCs w:val="43"/>
        </w:rPr>
      </w:pPr>
    </w:p>
    <w:p w14:paraId="77C47D3E">
      <w:pPr>
        <w:pStyle w:val="4"/>
        <w:kinsoku w:val="0"/>
        <w:overflowPunct w:val="0"/>
        <w:spacing w:before="9"/>
        <w:ind w:left="0"/>
        <w:rPr>
          <w:rFonts w:ascii="Times New Roman" w:eastAsia="仿宋" w:cs="Times New Roman"/>
          <w:color w:val="auto"/>
          <w:sz w:val="43"/>
          <w:szCs w:val="43"/>
        </w:rPr>
      </w:pPr>
    </w:p>
    <w:p w14:paraId="6D620DFC">
      <w:pPr>
        <w:pStyle w:val="4"/>
        <w:kinsoku w:val="0"/>
        <w:overflowPunct w:val="0"/>
        <w:spacing w:before="9"/>
        <w:ind w:left="0"/>
        <w:rPr>
          <w:rFonts w:ascii="Times New Roman" w:eastAsia="仿宋" w:cs="Times New Roman"/>
          <w:color w:val="auto"/>
          <w:sz w:val="43"/>
          <w:szCs w:val="43"/>
        </w:rPr>
      </w:pPr>
    </w:p>
    <w:p w14:paraId="2A72B8F1">
      <w:pPr>
        <w:pStyle w:val="4"/>
        <w:kinsoku w:val="0"/>
        <w:overflowPunct w:val="0"/>
        <w:spacing w:before="9"/>
        <w:ind w:left="0"/>
        <w:rPr>
          <w:rFonts w:ascii="Times New Roman" w:eastAsia="仿宋" w:cs="Times New Roman"/>
          <w:color w:val="auto"/>
          <w:sz w:val="43"/>
          <w:szCs w:val="43"/>
        </w:rPr>
      </w:pPr>
    </w:p>
    <w:p w14:paraId="23EE8C28">
      <w:pPr>
        <w:pStyle w:val="4"/>
        <w:kinsoku w:val="0"/>
        <w:overflowPunct w:val="0"/>
        <w:spacing w:before="9"/>
        <w:ind w:left="0"/>
        <w:rPr>
          <w:rFonts w:ascii="Times New Roman" w:eastAsia="仿宋" w:cs="Times New Roman"/>
          <w:color w:val="auto"/>
          <w:sz w:val="43"/>
          <w:szCs w:val="43"/>
        </w:rPr>
      </w:pPr>
    </w:p>
    <w:p w14:paraId="2A02820D">
      <w:pPr>
        <w:pStyle w:val="4"/>
        <w:kinsoku w:val="0"/>
        <w:overflowPunct w:val="0"/>
        <w:spacing w:before="9"/>
        <w:ind w:left="0"/>
        <w:rPr>
          <w:rFonts w:ascii="Times New Roman" w:eastAsia="仿宋" w:cs="Times New Roman"/>
          <w:color w:val="auto"/>
          <w:sz w:val="43"/>
          <w:szCs w:val="43"/>
        </w:rPr>
      </w:pPr>
      <w:bookmarkStart w:id="4" w:name="_GoBack"/>
      <w:bookmarkEnd w:id="4"/>
    </w:p>
    <w:p w14:paraId="4436BB96">
      <w:pPr>
        <w:pStyle w:val="4"/>
        <w:kinsoku w:val="0"/>
        <w:overflowPunct w:val="0"/>
        <w:spacing w:before="0"/>
        <w:ind w:left="0"/>
        <w:rPr>
          <w:rFonts w:ascii="Times New Roman" w:eastAsia="仿宋" w:cs="Times New Roman"/>
          <w:color w:val="auto"/>
          <w:sz w:val="43"/>
          <w:szCs w:val="43"/>
        </w:rPr>
      </w:pPr>
    </w:p>
    <w:p w14:paraId="28698581">
      <w:pPr>
        <w:pStyle w:val="4"/>
        <w:kinsoku w:val="0"/>
        <w:overflowPunct w:val="0"/>
        <w:adjustRightInd/>
        <w:spacing w:before="0" w:line="480" w:lineRule="auto"/>
        <w:ind w:left="0"/>
        <w:jc w:val="center"/>
        <w:rPr>
          <w:rFonts w:ascii="Times New Roman" w:eastAsia="仿宋" w:cs="Times New Roman"/>
          <w:color w:val="auto"/>
          <w:sz w:val="28"/>
        </w:rPr>
      </w:pPr>
      <w:r>
        <w:rPr>
          <w:rFonts w:ascii="Times New Roman" w:eastAsia="仿宋" w:cs="Times New Roman"/>
          <w:color w:val="auto"/>
          <w:sz w:val="28"/>
        </w:rPr>
        <w:t>项目名称：连云港荣泰化工仓储有限公司技改优化提升项目</w:t>
      </w:r>
    </w:p>
    <w:p w14:paraId="776D0435">
      <w:pPr>
        <w:pStyle w:val="14"/>
        <w:kinsoku w:val="0"/>
        <w:overflowPunct w:val="0"/>
        <w:adjustRightInd/>
        <w:jc w:val="center"/>
        <w:rPr>
          <w:rFonts w:eastAsia="仿宋"/>
          <w:color w:val="auto"/>
          <w:sz w:val="21"/>
          <w:szCs w:val="21"/>
        </w:rPr>
      </w:pPr>
      <w:r>
        <w:rPr>
          <w:rFonts w:eastAsia="仿宋"/>
          <w:color w:val="auto"/>
          <w:sz w:val="28"/>
          <w:szCs w:val="21"/>
        </w:rPr>
        <w:t>委托单位：</w:t>
      </w:r>
      <w:r>
        <w:rPr>
          <w:rFonts w:hint="eastAsia" w:eastAsia="仿宋"/>
          <w:color w:val="auto"/>
          <w:sz w:val="28"/>
          <w:szCs w:val="21"/>
        </w:rPr>
        <w:t>连云港荣泰化工仓储有限公司</w:t>
      </w:r>
    </w:p>
    <w:p w14:paraId="21CA9DA0">
      <w:pPr>
        <w:pStyle w:val="14"/>
        <w:kinsoku w:val="0"/>
        <w:overflowPunct w:val="0"/>
        <w:adjustRightInd/>
        <w:jc w:val="center"/>
        <w:rPr>
          <w:rFonts w:eastAsia="仿宋"/>
          <w:color w:val="auto"/>
          <w:sz w:val="28"/>
          <w:szCs w:val="21"/>
        </w:rPr>
      </w:pPr>
    </w:p>
    <w:p w14:paraId="2DEF93AE">
      <w:pPr>
        <w:pStyle w:val="14"/>
        <w:kinsoku w:val="0"/>
        <w:overflowPunct w:val="0"/>
        <w:adjustRightInd/>
        <w:jc w:val="center"/>
        <w:rPr>
          <w:rFonts w:eastAsia="仿宋"/>
          <w:color w:val="auto"/>
          <w:sz w:val="28"/>
          <w:szCs w:val="21"/>
        </w:rPr>
      </w:pPr>
      <w:r>
        <w:rPr>
          <w:rFonts w:eastAsia="仿宋"/>
          <w:color w:val="auto"/>
          <w:sz w:val="28"/>
          <w:szCs w:val="21"/>
        </w:rPr>
        <w:t>编制单位：江苏智盛环境科技有限公司</w:t>
      </w:r>
    </w:p>
    <w:p w14:paraId="3AD15DBB">
      <w:pPr>
        <w:pStyle w:val="14"/>
        <w:kinsoku w:val="0"/>
        <w:overflowPunct w:val="0"/>
        <w:adjustRightInd/>
        <w:jc w:val="center"/>
        <w:rPr>
          <w:rFonts w:eastAsia="仿宋"/>
          <w:color w:val="auto"/>
          <w:sz w:val="28"/>
          <w:szCs w:val="21"/>
        </w:rPr>
      </w:pPr>
    </w:p>
    <w:p w14:paraId="20364921">
      <w:pPr>
        <w:pStyle w:val="14"/>
        <w:kinsoku w:val="0"/>
        <w:overflowPunct w:val="0"/>
        <w:adjustRightInd/>
        <w:jc w:val="center"/>
        <w:rPr>
          <w:rFonts w:eastAsia="仿宋"/>
          <w:color w:val="auto"/>
          <w:sz w:val="28"/>
          <w:szCs w:val="21"/>
        </w:rPr>
      </w:pPr>
      <w:r>
        <w:rPr>
          <w:rFonts w:eastAsia="仿宋"/>
          <w:color w:val="auto"/>
          <w:sz w:val="28"/>
          <w:szCs w:val="21"/>
        </w:rPr>
        <w:t>编制日期：202</w:t>
      </w:r>
      <w:r>
        <w:rPr>
          <w:rFonts w:hint="eastAsia" w:eastAsia="仿宋"/>
          <w:color w:val="auto"/>
          <w:sz w:val="28"/>
          <w:szCs w:val="21"/>
          <w:lang w:val="en-US" w:eastAsia="zh-CN"/>
        </w:rPr>
        <w:t>6</w:t>
      </w:r>
      <w:r>
        <w:rPr>
          <w:rFonts w:eastAsia="仿宋"/>
          <w:color w:val="auto"/>
          <w:sz w:val="28"/>
          <w:szCs w:val="21"/>
        </w:rPr>
        <w:t>年</w:t>
      </w:r>
      <w:r>
        <w:rPr>
          <w:rFonts w:hint="eastAsia" w:eastAsia="仿宋"/>
          <w:color w:val="auto"/>
          <w:sz w:val="28"/>
          <w:szCs w:val="21"/>
          <w:lang w:val="en-US" w:eastAsia="zh-CN"/>
        </w:rPr>
        <w:t>6</w:t>
      </w:r>
      <w:r>
        <w:rPr>
          <w:rFonts w:eastAsia="仿宋"/>
          <w:color w:val="auto"/>
          <w:sz w:val="28"/>
          <w:szCs w:val="21"/>
        </w:rPr>
        <w:t>月</w:t>
      </w:r>
    </w:p>
    <w:p w14:paraId="0CDA9489">
      <w:pPr>
        <w:pStyle w:val="4"/>
        <w:tabs>
          <w:tab w:val="left" w:pos="3954"/>
          <w:tab w:val="left" w:pos="4655"/>
        </w:tabs>
        <w:kinsoku w:val="0"/>
        <w:overflowPunct w:val="0"/>
        <w:spacing w:before="0" w:line="408" w:lineRule="auto"/>
        <w:ind w:left="1994" w:right="2269"/>
        <w:jc w:val="center"/>
        <w:rPr>
          <w:rFonts w:ascii="Times New Roman" w:cs="Times New Roman"/>
          <w:color w:val="auto"/>
          <w:sz w:val="28"/>
          <w:szCs w:val="28"/>
        </w:rPr>
      </w:pPr>
    </w:p>
    <w:p w14:paraId="724BE8DB">
      <w:pPr>
        <w:pStyle w:val="4"/>
        <w:tabs>
          <w:tab w:val="left" w:pos="3954"/>
          <w:tab w:val="left" w:pos="4655"/>
        </w:tabs>
        <w:kinsoku w:val="0"/>
        <w:overflowPunct w:val="0"/>
        <w:spacing w:before="0" w:line="408" w:lineRule="auto"/>
        <w:ind w:left="1994" w:right="2269"/>
        <w:jc w:val="center"/>
        <w:rPr>
          <w:rFonts w:ascii="Times New Roman" w:cs="Times New Roman"/>
          <w:color w:val="auto"/>
          <w:sz w:val="28"/>
          <w:szCs w:val="28"/>
        </w:rPr>
        <w:sectPr>
          <w:headerReference r:id="rId3" w:type="default"/>
          <w:headerReference r:id="rId4" w:type="even"/>
          <w:pgSz w:w="11910" w:h="16840"/>
          <w:pgMar w:top="1060" w:right="1300" w:bottom="1180" w:left="1580" w:header="863" w:footer="981" w:gutter="0"/>
          <w:pgBorders>
            <w:top w:val="none" w:sz="0" w:space="0"/>
            <w:left w:val="none" w:sz="0" w:space="0"/>
            <w:bottom w:val="none" w:sz="0" w:space="0"/>
            <w:right w:val="none" w:sz="0" w:space="0"/>
          </w:pgBorders>
          <w:cols w:equalWidth="0" w:num="1">
            <w:col w:w="9030"/>
          </w:cols>
        </w:sectPr>
      </w:pPr>
    </w:p>
    <w:p w14:paraId="76E0FC76">
      <w:pPr>
        <w:pStyle w:val="14"/>
        <w:kinsoku w:val="0"/>
        <w:overflowPunct w:val="0"/>
        <w:adjustRightInd/>
        <w:spacing w:line="360" w:lineRule="auto"/>
        <w:rPr>
          <w:rFonts w:hint="eastAsia" w:ascii="仿宋" w:hAnsi="仿宋" w:eastAsia="仿宋" w:cs="仿宋"/>
          <w:color w:val="auto"/>
          <w:sz w:val="28"/>
          <w:szCs w:val="21"/>
        </w:rPr>
      </w:pPr>
      <w:r>
        <w:rPr>
          <w:rFonts w:hint="eastAsia" w:ascii="仿宋" w:hAnsi="仿宋" w:eastAsia="仿宋" w:cs="仿宋"/>
          <w:color w:val="auto"/>
          <w:sz w:val="28"/>
          <w:szCs w:val="21"/>
        </w:rPr>
        <w:t>建 设 单 位：连云港荣泰化工仓储有限公司</w:t>
      </w:r>
    </w:p>
    <w:p w14:paraId="3CC5B328">
      <w:pPr>
        <w:pStyle w:val="14"/>
        <w:kinsoku w:val="0"/>
        <w:overflowPunct w:val="0"/>
        <w:adjustRightInd/>
        <w:spacing w:line="360" w:lineRule="auto"/>
        <w:rPr>
          <w:rFonts w:hint="eastAsia" w:ascii="仿宋" w:hAnsi="仿宋" w:eastAsia="仿宋" w:cs="仿宋"/>
          <w:color w:val="auto"/>
          <w:sz w:val="28"/>
          <w:szCs w:val="21"/>
        </w:rPr>
      </w:pPr>
      <w:r>
        <w:rPr>
          <w:rFonts w:hint="eastAsia" w:ascii="仿宋" w:hAnsi="仿宋" w:eastAsia="仿宋" w:cs="仿宋"/>
          <w:color w:val="auto"/>
          <w:sz w:val="28"/>
          <w:szCs w:val="21"/>
        </w:rPr>
        <w:t>编 制 单 位：江苏智盛环境科技有限公司</w:t>
      </w:r>
    </w:p>
    <w:p w14:paraId="33473CB7">
      <w:pPr>
        <w:pStyle w:val="14"/>
        <w:kinsoku w:val="0"/>
        <w:overflowPunct w:val="0"/>
        <w:adjustRightInd/>
        <w:spacing w:line="360" w:lineRule="auto"/>
        <w:rPr>
          <w:rFonts w:hint="eastAsia" w:ascii="仿宋" w:hAnsi="仿宋" w:eastAsia="仿宋" w:cs="仿宋"/>
          <w:color w:val="auto"/>
          <w:sz w:val="28"/>
          <w:szCs w:val="21"/>
        </w:rPr>
      </w:pPr>
      <w:r>
        <w:rPr>
          <w:rFonts w:hint="eastAsia" w:ascii="仿宋" w:hAnsi="仿宋" w:eastAsia="仿宋" w:cs="仿宋"/>
          <w:color w:val="auto"/>
          <w:sz w:val="28"/>
          <w:szCs w:val="21"/>
        </w:rPr>
        <w:t>法 人 代 表：柳然（签章）</w:t>
      </w:r>
    </w:p>
    <w:p w14:paraId="7FFE5E4B">
      <w:pPr>
        <w:pStyle w:val="14"/>
        <w:kinsoku w:val="0"/>
        <w:overflowPunct w:val="0"/>
        <w:adjustRightInd/>
        <w:spacing w:line="360" w:lineRule="auto"/>
        <w:rPr>
          <w:rFonts w:hint="eastAsia" w:ascii="仿宋" w:hAnsi="仿宋" w:eastAsia="仿宋" w:cs="仿宋"/>
          <w:color w:val="auto"/>
          <w:sz w:val="28"/>
          <w:szCs w:val="21"/>
        </w:rPr>
      </w:pPr>
      <w:r>
        <w:rPr>
          <w:rFonts w:hint="eastAsia" w:ascii="仿宋" w:hAnsi="仿宋" w:eastAsia="仿宋" w:cs="仿宋"/>
          <w:color w:val="auto"/>
          <w:sz w:val="28"/>
          <w:szCs w:val="21"/>
        </w:rPr>
        <w:t>项目负责人：崔慧平</w:t>
      </w:r>
    </w:p>
    <w:p w14:paraId="71582871">
      <w:pPr>
        <w:pStyle w:val="14"/>
        <w:kinsoku w:val="0"/>
        <w:overflowPunct w:val="0"/>
        <w:adjustRightInd/>
        <w:spacing w:line="360" w:lineRule="auto"/>
        <w:rPr>
          <w:rFonts w:eastAsia="仿宋"/>
          <w:color w:val="auto"/>
          <w:sz w:val="28"/>
          <w:szCs w:val="21"/>
        </w:rPr>
      </w:pPr>
      <w:r>
        <w:rPr>
          <w:rFonts w:hint="eastAsia" w:ascii="仿宋" w:hAnsi="仿宋" w:eastAsia="仿宋" w:cs="仿宋"/>
          <w:color w:val="auto"/>
          <w:sz w:val="28"/>
          <w:szCs w:val="21"/>
        </w:rPr>
        <w:t>填表人：杨苗苗</w:t>
      </w:r>
    </w:p>
    <w:p w14:paraId="209CC60B">
      <w:pPr>
        <w:pStyle w:val="14"/>
        <w:kinsoku w:val="0"/>
        <w:overflowPunct w:val="0"/>
        <w:adjustRightInd/>
        <w:spacing w:line="360" w:lineRule="auto"/>
        <w:rPr>
          <w:rFonts w:eastAsia="宋体"/>
          <w:color w:val="auto"/>
          <w:sz w:val="28"/>
          <w:szCs w:val="21"/>
        </w:rPr>
      </w:pPr>
    </w:p>
    <w:p w14:paraId="27F2DB4C">
      <w:pPr>
        <w:pStyle w:val="14"/>
        <w:kinsoku w:val="0"/>
        <w:overflowPunct w:val="0"/>
        <w:adjustRightInd/>
        <w:spacing w:line="360" w:lineRule="auto"/>
        <w:rPr>
          <w:rFonts w:eastAsia="宋体"/>
          <w:color w:val="auto"/>
          <w:sz w:val="28"/>
          <w:szCs w:val="21"/>
        </w:rPr>
      </w:pPr>
    </w:p>
    <w:p w14:paraId="7885ED00">
      <w:pPr>
        <w:pStyle w:val="14"/>
        <w:kinsoku w:val="0"/>
        <w:overflowPunct w:val="0"/>
        <w:adjustRightInd/>
        <w:spacing w:line="360" w:lineRule="auto"/>
        <w:rPr>
          <w:rFonts w:eastAsia="宋体"/>
          <w:color w:val="auto"/>
          <w:sz w:val="28"/>
          <w:szCs w:val="21"/>
        </w:rPr>
      </w:pPr>
    </w:p>
    <w:p w14:paraId="5657A790">
      <w:pPr>
        <w:pStyle w:val="14"/>
        <w:kinsoku w:val="0"/>
        <w:overflowPunct w:val="0"/>
        <w:adjustRightInd/>
        <w:spacing w:line="360" w:lineRule="auto"/>
        <w:rPr>
          <w:rFonts w:eastAsia="宋体"/>
          <w:color w:val="auto"/>
          <w:sz w:val="28"/>
          <w:szCs w:val="21"/>
        </w:rPr>
      </w:pPr>
    </w:p>
    <w:p w14:paraId="607C6E70">
      <w:pPr>
        <w:pStyle w:val="14"/>
        <w:kinsoku w:val="0"/>
        <w:overflowPunct w:val="0"/>
        <w:adjustRightInd/>
        <w:spacing w:line="360" w:lineRule="auto"/>
        <w:rPr>
          <w:rFonts w:eastAsia="宋体"/>
          <w:color w:val="auto"/>
          <w:sz w:val="28"/>
          <w:szCs w:val="21"/>
        </w:rPr>
      </w:pPr>
    </w:p>
    <w:p w14:paraId="62B71448">
      <w:pPr>
        <w:pStyle w:val="14"/>
        <w:kinsoku w:val="0"/>
        <w:overflowPunct w:val="0"/>
        <w:adjustRightInd/>
        <w:spacing w:line="360" w:lineRule="auto"/>
        <w:rPr>
          <w:rFonts w:eastAsia="宋体"/>
          <w:color w:val="auto"/>
          <w:sz w:val="28"/>
          <w:szCs w:val="21"/>
        </w:rPr>
      </w:pPr>
    </w:p>
    <w:p w14:paraId="7C54DE61">
      <w:pPr>
        <w:pStyle w:val="14"/>
        <w:kinsoku w:val="0"/>
        <w:overflowPunct w:val="0"/>
        <w:adjustRightInd/>
        <w:spacing w:line="360" w:lineRule="auto"/>
        <w:rPr>
          <w:rFonts w:eastAsia="宋体"/>
          <w:color w:val="auto"/>
          <w:sz w:val="28"/>
          <w:szCs w:val="21"/>
        </w:rPr>
      </w:pPr>
    </w:p>
    <w:p w14:paraId="1197C68F">
      <w:pPr>
        <w:pStyle w:val="14"/>
        <w:kinsoku w:val="0"/>
        <w:overflowPunct w:val="0"/>
        <w:adjustRightInd/>
        <w:spacing w:line="360" w:lineRule="auto"/>
        <w:rPr>
          <w:rFonts w:eastAsia="仿宋"/>
          <w:color w:val="auto"/>
          <w:sz w:val="28"/>
          <w:szCs w:val="21"/>
        </w:rPr>
      </w:pPr>
      <w:r>
        <w:rPr>
          <w:rFonts w:eastAsia="仿宋"/>
          <w:color w:val="auto"/>
          <w:sz w:val="28"/>
          <w:szCs w:val="21"/>
        </w:rPr>
        <w:t>编制单位联系方式</w:t>
      </w:r>
    </w:p>
    <w:p w14:paraId="39298561">
      <w:pPr>
        <w:pStyle w:val="14"/>
        <w:kinsoku w:val="0"/>
        <w:overflowPunct w:val="0"/>
        <w:adjustRightInd/>
        <w:spacing w:line="360" w:lineRule="auto"/>
        <w:rPr>
          <w:rFonts w:eastAsia="仿宋"/>
          <w:color w:val="auto"/>
          <w:sz w:val="28"/>
          <w:szCs w:val="21"/>
        </w:rPr>
      </w:pPr>
      <w:r>
        <w:rPr>
          <w:rFonts w:eastAsia="仿宋"/>
          <w:color w:val="auto"/>
          <w:sz w:val="28"/>
          <w:szCs w:val="21"/>
        </w:rPr>
        <w:t>电话：0518-85521302</w:t>
      </w:r>
    </w:p>
    <w:p w14:paraId="2F802900">
      <w:pPr>
        <w:pStyle w:val="14"/>
        <w:kinsoku w:val="0"/>
        <w:overflowPunct w:val="0"/>
        <w:adjustRightInd/>
        <w:spacing w:line="360" w:lineRule="auto"/>
        <w:rPr>
          <w:rFonts w:eastAsia="仿宋"/>
          <w:color w:val="auto"/>
          <w:sz w:val="28"/>
          <w:szCs w:val="21"/>
        </w:rPr>
      </w:pPr>
      <w:r>
        <w:rPr>
          <w:rFonts w:eastAsia="仿宋"/>
          <w:color w:val="auto"/>
          <w:sz w:val="28"/>
          <w:szCs w:val="21"/>
        </w:rPr>
        <w:t>传真：0518-85521302</w:t>
      </w:r>
    </w:p>
    <w:p w14:paraId="56C6D64F">
      <w:pPr>
        <w:pStyle w:val="14"/>
        <w:kinsoku w:val="0"/>
        <w:overflowPunct w:val="0"/>
        <w:adjustRightInd/>
        <w:spacing w:line="360" w:lineRule="auto"/>
        <w:rPr>
          <w:rFonts w:eastAsia="仿宋"/>
          <w:color w:val="auto"/>
          <w:sz w:val="28"/>
          <w:szCs w:val="21"/>
        </w:rPr>
      </w:pPr>
      <w:r>
        <w:rPr>
          <w:rFonts w:eastAsia="仿宋"/>
          <w:color w:val="auto"/>
          <w:sz w:val="28"/>
          <w:szCs w:val="21"/>
        </w:rPr>
        <w:t>地址：连云港市海州区朝阳东路55号</w:t>
      </w:r>
    </w:p>
    <w:p w14:paraId="2369E980">
      <w:pPr>
        <w:pStyle w:val="14"/>
        <w:kinsoku w:val="0"/>
        <w:overflowPunct w:val="0"/>
        <w:adjustRightInd/>
        <w:spacing w:line="360" w:lineRule="auto"/>
        <w:rPr>
          <w:rFonts w:eastAsia="仿宋"/>
          <w:color w:val="auto"/>
          <w:sz w:val="28"/>
          <w:szCs w:val="21"/>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eastAsia="仿宋"/>
          <w:color w:val="auto"/>
          <w:sz w:val="28"/>
          <w:szCs w:val="21"/>
        </w:rPr>
        <w:t>邮编：222000</w:t>
      </w:r>
    </w:p>
    <w:p w14:paraId="5C4A6F77">
      <w:pPr>
        <w:pStyle w:val="4"/>
        <w:kinsoku w:val="0"/>
        <w:overflowPunct w:val="0"/>
        <w:spacing w:before="168"/>
        <w:ind w:left="0" w:right="255"/>
        <w:outlineLvl w:val="0"/>
        <w:rPr>
          <w:rFonts w:ascii="Times New Roman" w:eastAsia="仿宋" w:cs="Times New Roman"/>
          <w:b/>
          <w:bCs/>
          <w:color w:val="auto"/>
          <w:sz w:val="24"/>
          <w:szCs w:val="24"/>
        </w:rPr>
      </w:pPr>
      <w:r>
        <w:rPr>
          <w:rFonts w:ascii="Times New Roman" w:eastAsia="仿宋" w:cs="Times New Roman"/>
          <w:b/>
          <w:bCs/>
          <w:color w:val="auto"/>
          <w:sz w:val="24"/>
          <w:szCs w:val="24"/>
        </w:rPr>
        <w:t>表1  项目总体情况</w:t>
      </w:r>
    </w:p>
    <w:tbl>
      <w:tblPr>
        <w:tblStyle w:val="7"/>
        <w:tblW w:w="9071" w:type="dxa"/>
        <w:jc w:val="center"/>
        <w:tblLayout w:type="fixed"/>
        <w:tblCellMar>
          <w:top w:w="0" w:type="dxa"/>
          <w:left w:w="0" w:type="dxa"/>
          <w:bottom w:w="0" w:type="dxa"/>
          <w:right w:w="0" w:type="dxa"/>
        </w:tblCellMar>
      </w:tblPr>
      <w:tblGrid>
        <w:gridCol w:w="1914"/>
        <w:gridCol w:w="1829"/>
        <w:gridCol w:w="752"/>
        <w:gridCol w:w="496"/>
        <w:gridCol w:w="1402"/>
        <w:gridCol w:w="1163"/>
        <w:gridCol w:w="1515"/>
      </w:tblGrid>
      <w:tr w14:paraId="7588A00D">
        <w:tblPrEx>
          <w:tblCellMar>
            <w:top w:w="0" w:type="dxa"/>
            <w:left w:w="0" w:type="dxa"/>
            <w:bottom w:w="0" w:type="dxa"/>
            <w:right w:w="0" w:type="dxa"/>
          </w:tblCellMar>
        </w:tblPrEx>
        <w:trPr>
          <w:trHeight w:val="340" w:hRule="atLeast"/>
          <w:jc w:val="center"/>
        </w:trPr>
        <w:tc>
          <w:tcPr>
            <w:tcW w:w="2010" w:type="dxa"/>
            <w:tcBorders>
              <w:top w:val="single" w:color="000000" w:sz="4" w:space="0"/>
              <w:left w:val="single" w:color="000000" w:sz="4" w:space="0"/>
              <w:bottom w:val="single" w:color="000000" w:sz="4" w:space="0"/>
              <w:right w:val="single" w:color="000000" w:sz="4" w:space="0"/>
            </w:tcBorders>
            <w:vAlign w:val="center"/>
          </w:tcPr>
          <w:p w14:paraId="36A04661">
            <w:pPr>
              <w:pStyle w:val="14"/>
              <w:kinsoku w:val="0"/>
              <w:overflowPunct w:val="0"/>
              <w:snapToGrid w:val="0"/>
              <w:jc w:val="center"/>
              <w:rPr>
                <w:rFonts w:eastAsia="仿宋"/>
                <w:color w:val="auto"/>
              </w:rPr>
            </w:pPr>
            <w:r>
              <w:rPr>
                <w:rFonts w:eastAsia="仿宋"/>
                <w:color w:val="auto"/>
              </w:rPr>
              <w:t>建设项目名称</w:t>
            </w:r>
          </w:p>
        </w:tc>
        <w:tc>
          <w:tcPr>
            <w:tcW w:w="7513" w:type="dxa"/>
            <w:gridSpan w:val="6"/>
            <w:tcBorders>
              <w:top w:val="single" w:color="000000" w:sz="4" w:space="0"/>
              <w:left w:val="single" w:color="000000" w:sz="4" w:space="0"/>
              <w:bottom w:val="single" w:color="000000" w:sz="4" w:space="0"/>
              <w:right w:val="single" w:color="000000" w:sz="4" w:space="0"/>
            </w:tcBorders>
            <w:vAlign w:val="center"/>
          </w:tcPr>
          <w:p w14:paraId="115B97E4">
            <w:pPr>
              <w:pStyle w:val="14"/>
              <w:kinsoku w:val="0"/>
              <w:overflowPunct w:val="0"/>
              <w:snapToGrid w:val="0"/>
              <w:jc w:val="center"/>
              <w:rPr>
                <w:rFonts w:eastAsia="仿宋"/>
                <w:color w:val="auto"/>
              </w:rPr>
            </w:pPr>
            <w:r>
              <w:rPr>
                <w:rFonts w:eastAsia="仿宋"/>
                <w:color w:val="auto"/>
              </w:rPr>
              <w:t>连云港荣泰化工仓储有限公司技改优化提升项目</w:t>
            </w:r>
          </w:p>
        </w:tc>
      </w:tr>
      <w:tr w14:paraId="3CC1CA8C">
        <w:tblPrEx>
          <w:tblCellMar>
            <w:top w:w="0" w:type="dxa"/>
            <w:left w:w="0" w:type="dxa"/>
            <w:bottom w:w="0" w:type="dxa"/>
            <w:right w:w="0" w:type="dxa"/>
          </w:tblCellMar>
        </w:tblPrEx>
        <w:trPr>
          <w:trHeight w:val="340" w:hRule="atLeast"/>
          <w:jc w:val="center"/>
        </w:trPr>
        <w:tc>
          <w:tcPr>
            <w:tcW w:w="2010" w:type="dxa"/>
            <w:tcBorders>
              <w:top w:val="single" w:color="000000" w:sz="4" w:space="0"/>
              <w:left w:val="single" w:color="000000" w:sz="4" w:space="0"/>
              <w:bottom w:val="single" w:color="000000" w:sz="4" w:space="0"/>
              <w:right w:val="single" w:color="000000" w:sz="4" w:space="0"/>
            </w:tcBorders>
            <w:vAlign w:val="center"/>
          </w:tcPr>
          <w:p w14:paraId="199A73BA">
            <w:pPr>
              <w:pStyle w:val="14"/>
              <w:kinsoku w:val="0"/>
              <w:overflowPunct w:val="0"/>
              <w:snapToGrid w:val="0"/>
              <w:jc w:val="center"/>
              <w:rPr>
                <w:rFonts w:eastAsia="仿宋"/>
                <w:color w:val="auto"/>
              </w:rPr>
            </w:pPr>
            <w:r>
              <w:rPr>
                <w:rFonts w:eastAsia="仿宋"/>
                <w:color w:val="auto"/>
              </w:rPr>
              <w:t>建设单位</w:t>
            </w:r>
          </w:p>
        </w:tc>
        <w:tc>
          <w:tcPr>
            <w:tcW w:w="7513" w:type="dxa"/>
            <w:gridSpan w:val="6"/>
            <w:tcBorders>
              <w:top w:val="single" w:color="000000" w:sz="4" w:space="0"/>
              <w:left w:val="single" w:color="000000" w:sz="4" w:space="0"/>
              <w:bottom w:val="single" w:color="000000" w:sz="4" w:space="0"/>
              <w:right w:val="single" w:color="000000" w:sz="4" w:space="0"/>
            </w:tcBorders>
            <w:vAlign w:val="center"/>
          </w:tcPr>
          <w:p w14:paraId="1F3C69EE">
            <w:pPr>
              <w:pStyle w:val="14"/>
              <w:kinsoku w:val="0"/>
              <w:overflowPunct w:val="0"/>
              <w:snapToGrid w:val="0"/>
              <w:jc w:val="center"/>
              <w:rPr>
                <w:rFonts w:eastAsia="仿宋"/>
                <w:color w:val="auto"/>
              </w:rPr>
            </w:pPr>
            <w:r>
              <w:rPr>
                <w:rFonts w:eastAsia="仿宋"/>
                <w:color w:val="auto"/>
              </w:rPr>
              <w:t>连云港荣泰化工仓储有限公司</w:t>
            </w:r>
          </w:p>
        </w:tc>
      </w:tr>
      <w:tr w14:paraId="1252A868">
        <w:tblPrEx>
          <w:tblCellMar>
            <w:top w:w="0" w:type="dxa"/>
            <w:left w:w="0" w:type="dxa"/>
            <w:bottom w:w="0" w:type="dxa"/>
            <w:right w:w="0" w:type="dxa"/>
          </w:tblCellMar>
        </w:tblPrEx>
        <w:trPr>
          <w:trHeight w:val="340" w:hRule="atLeast"/>
          <w:jc w:val="center"/>
        </w:trPr>
        <w:tc>
          <w:tcPr>
            <w:tcW w:w="2010" w:type="dxa"/>
            <w:tcBorders>
              <w:top w:val="single" w:color="000000" w:sz="4" w:space="0"/>
              <w:left w:val="single" w:color="000000" w:sz="4" w:space="0"/>
              <w:bottom w:val="single" w:color="000000" w:sz="4" w:space="0"/>
              <w:right w:val="single" w:color="000000" w:sz="4" w:space="0"/>
            </w:tcBorders>
            <w:vAlign w:val="center"/>
          </w:tcPr>
          <w:p w14:paraId="5677E37A">
            <w:pPr>
              <w:pStyle w:val="14"/>
              <w:kinsoku w:val="0"/>
              <w:overflowPunct w:val="0"/>
              <w:snapToGrid w:val="0"/>
              <w:jc w:val="center"/>
              <w:rPr>
                <w:rFonts w:eastAsia="仿宋"/>
                <w:color w:val="auto"/>
              </w:rPr>
            </w:pPr>
            <w:r>
              <w:rPr>
                <w:rFonts w:eastAsia="仿宋"/>
                <w:color w:val="auto"/>
              </w:rPr>
              <w:t>法人代表</w:t>
            </w:r>
          </w:p>
        </w:tc>
        <w:tc>
          <w:tcPr>
            <w:tcW w:w="2709" w:type="dxa"/>
            <w:gridSpan w:val="2"/>
            <w:tcBorders>
              <w:top w:val="single" w:color="000000" w:sz="4" w:space="0"/>
              <w:left w:val="single" w:color="000000" w:sz="4" w:space="0"/>
              <w:bottom w:val="single" w:color="000000" w:sz="4" w:space="0"/>
              <w:right w:val="single" w:color="000000" w:sz="4" w:space="0"/>
            </w:tcBorders>
            <w:vAlign w:val="center"/>
          </w:tcPr>
          <w:p w14:paraId="30989028">
            <w:pPr>
              <w:pStyle w:val="14"/>
              <w:kinsoku w:val="0"/>
              <w:overflowPunct w:val="0"/>
              <w:snapToGrid w:val="0"/>
              <w:jc w:val="center"/>
              <w:rPr>
                <w:rFonts w:eastAsia="仿宋"/>
                <w:color w:val="auto"/>
              </w:rPr>
            </w:pPr>
            <w:r>
              <w:rPr>
                <w:rFonts w:hint="eastAsia" w:eastAsia="仿宋"/>
                <w:color w:val="auto"/>
              </w:rPr>
              <w:t>孙仁凯</w:t>
            </w:r>
          </w:p>
        </w:tc>
        <w:tc>
          <w:tcPr>
            <w:tcW w:w="1993" w:type="dxa"/>
            <w:gridSpan w:val="2"/>
            <w:tcBorders>
              <w:top w:val="single" w:color="000000" w:sz="4" w:space="0"/>
              <w:left w:val="single" w:color="000000" w:sz="4" w:space="0"/>
              <w:bottom w:val="single" w:color="000000" w:sz="4" w:space="0"/>
              <w:right w:val="single" w:color="000000" w:sz="4" w:space="0"/>
            </w:tcBorders>
            <w:vAlign w:val="center"/>
          </w:tcPr>
          <w:p w14:paraId="0E4EDF82">
            <w:pPr>
              <w:pStyle w:val="14"/>
              <w:kinsoku w:val="0"/>
              <w:overflowPunct w:val="0"/>
              <w:snapToGrid w:val="0"/>
              <w:jc w:val="center"/>
              <w:rPr>
                <w:rFonts w:eastAsia="仿宋"/>
                <w:color w:val="auto"/>
              </w:rPr>
            </w:pPr>
            <w:r>
              <w:rPr>
                <w:rFonts w:eastAsia="仿宋"/>
                <w:color w:val="auto"/>
              </w:rPr>
              <w:t>联系人</w:t>
            </w:r>
          </w:p>
        </w:tc>
        <w:tc>
          <w:tcPr>
            <w:tcW w:w="2811" w:type="dxa"/>
            <w:gridSpan w:val="2"/>
            <w:tcBorders>
              <w:top w:val="single" w:color="000000" w:sz="4" w:space="0"/>
              <w:left w:val="single" w:color="000000" w:sz="4" w:space="0"/>
              <w:bottom w:val="single" w:color="000000" w:sz="4" w:space="0"/>
              <w:right w:val="single" w:color="000000" w:sz="4" w:space="0"/>
            </w:tcBorders>
            <w:vAlign w:val="center"/>
          </w:tcPr>
          <w:p w14:paraId="14B10DF5">
            <w:pPr>
              <w:pStyle w:val="14"/>
              <w:kinsoku w:val="0"/>
              <w:overflowPunct w:val="0"/>
              <w:snapToGrid w:val="0"/>
              <w:jc w:val="center"/>
              <w:rPr>
                <w:rFonts w:eastAsia="仿宋"/>
                <w:color w:val="auto"/>
              </w:rPr>
            </w:pPr>
            <w:r>
              <w:rPr>
                <w:rFonts w:hint="eastAsia" w:eastAsia="仿宋"/>
                <w:color w:val="auto"/>
              </w:rPr>
              <w:t>任仲昊</w:t>
            </w:r>
          </w:p>
        </w:tc>
      </w:tr>
      <w:tr w14:paraId="5F3EDA03">
        <w:tblPrEx>
          <w:tblCellMar>
            <w:top w:w="0" w:type="dxa"/>
            <w:left w:w="0" w:type="dxa"/>
            <w:bottom w:w="0" w:type="dxa"/>
            <w:right w:w="0" w:type="dxa"/>
          </w:tblCellMar>
        </w:tblPrEx>
        <w:trPr>
          <w:trHeight w:val="340" w:hRule="atLeast"/>
          <w:jc w:val="center"/>
        </w:trPr>
        <w:tc>
          <w:tcPr>
            <w:tcW w:w="2010" w:type="dxa"/>
            <w:tcBorders>
              <w:top w:val="single" w:color="000000" w:sz="4" w:space="0"/>
              <w:left w:val="single" w:color="000000" w:sz="4" w:space="0"/>
              <w:bottom w:val="single" w:color="000000" w:sz="4" w:space="0"/>
              <w:right w:val="single" w:color="000000" w:sz="4" w:space="0"/>
            </w:tcBorders>
            <w:vAlign w:val="center"/>
          </w:tcPr>
          <w:p w14:paraId="01B9A340">
            <w:pPr>
              <w:pStyle w:val="14"/>
              <w:kinsoku w:val="0"/>
              <w:overflowPunct w:val="0"/>
              <w:snapToGrid w:val="0"/>
              <w:jc w:val="center"/>
              <w:rPr>
                <w:rFonts w:eastAsia="仿宋"/>
                <w:color w:val="auto"/>
              </w:rPr>
            </w:pPr>
            <w:r>
              <w:rPr>
                <w:rFonts w:eastAsia="仿宋"/>
                <w:color w:val="auto"/>
              </w:rPr>
              <w:t>通信地址</w:t>
            </w:r>
          </w:p>
        </w:tc>
        <w:tc>
          <w:tcPr>
            <w:tcW w:w="7513" w:type="dxa"/>
            <w:gridSpan w:val="6"/>
            <w:tcBorders>
              <w:top w:val="single" w:color="000000" w:sz="4" w:space="0"/>
              <w:left w:val="single" w:color="000000" w:sz="4" w:space="0"/>
              <w:bottom w:val="single" w:color="000000" w:sz="4" w:space="0"/>
              <w:right w:val="single" w:color="000000" w:sz="4" w:space="0"/>
            </w:tcBorders>
            <w:vAlign w:val="center"/>
          </w:tcPr>
          <w:p w14:paraId="684D75BA">
            <w:pPr>
              <w:pStyle w:val="14"/>
              <w:kinsoku w:val="0"/>
              <w:overflowPunct w:val="0"/>
              <w:snapToGrid w:val="0"/>
              <w:jc w:val="center"/>
              <w:rPr>
                <w:rFonts w:eastAsia="仿宋"/>
                <w:color w:val="auto"/>
              </w:rPr>
            </w:pPr>
            <w:r>
              <w:rPr>
                <w:rFonts w:hint="eastAsia" w:eastAsia="仿宋"/>
                <w:color w:val="auto"/>
              </w:rPr>
              <w:t>江苏省连云港市国家东中西区域合作示范区连云港新荣泰码头有限公司</w:t>
            </w:r>
          </w:p>
        </w:tc>
      </w:tr>
      <w:tr w14:paraId="01450BC8">
        <w:tblPrEx>
          <w:tblCellMar>
            <w:top w:w="0" w:type="dxa"/>
            <w:left w:w="0" w:type="dxa"/>
            <w:bottom w:w="0" w:type="dxa"/>
            <w:right w:w="0" w:type="dxa"/>
          </w:tblCellMar>
        </w:tblPrEx>
        <w:trPr>
          <w:trHeight w:val="340" w:hRule="atLeast"/>
          <w:jc w:val="center"/>
        </w:trPr>
        <w:tc>
          <w:tcPr>
            <w:tcW w:w="2010" w:type="dxa"/>
            <w:tcBorders>
              <w:top w:val="single" w:color="000000" w:sz="4" w:space="0"/>
              <w:left w:val="single" w:color="000000" w:sz="4" w:space="0"/>
              <w:bottom w:val="single" w:color="000000" w:sz="4" w:space="0"/>
              <w:right w:val="single" w:color="000000" w:sz="4" w:space="0"/>
            </w:tcBorders>
            <w:vAlign w:val="center"/>
          </w:tcPr>
          <w:p w14:paraId="671E600A">
            <w:pPr>
              <w:pStyle w:val="14"/>
              <w:kinsoku w:val="0"/>
              <w:overflowPunct w:val="0"/>
              <w:snapToGrid w:val="0"/>
              <w:jc w:val="center"/>
              <w:rPr>
                <w:rFonts w:eastAsia="仿宋"/>
                <w:color w:val="auto"/>
              </w:rPr>
            </w:pPr>
            <w:r>
              <w:rPr>
                <w:rFonts w:eastAsia="仿宋"/>
                <w:color w:val="auto"/>
              </w:rPr>
              <w:t>联系电话</w:t>
            </w:r>
          </w:p>
        </w:tc>
        <w:tc>
          <w:tcPr>
            <w:tcW w:w="1920" w:type="dxa"/>
            <w:tcBorders>
              <w:top w:val="single" w:color="000000" w:sz="4" w:space="0"/>
              <w:left w:val="single" w:color="000000" w:sz="4" w:space="0"/>
              <w:bottom w:val="single" w:color="000000" w:sz="4" w:space="0"/>
              <w:right w:val="single" w:color="000000" w:sz="4" w:space="0"/>
            </w:tcBorders>
            <w:vAlign w:val="center"/>
          </w:tcPr>
          <w:p w14:paraId="409491A4">
            <w:pPr>
              <w:pStyle w:val="14"/>
              <w:kinsoku w:val="0"/>
              <w:overflowPunct w:val="0"/>
              <w:snapToGrid w:val="0"/>
              <w:jc w:val="center"/>
              <w:rPr>
                <w:rFonts w:eastAsia="仿宋"/>
                <w:color w:val="auto"/>
              </w:rPr>
            </w:pPr>
            <w:r>
              <w:rPr>
                <w:rFonts w:eastAsia="仿宋"/>
                <w:color w:val="auto"/>
              </w:rPr>
              <w:t>18260652061</w:t>
            </w:r>
          </w:p>
        </w:tc>
        <w:tc>
          <w:tcPr>
            <w:tcW w:w="1310" w:type="dxa"/>
            <w:gridSpan w:val="2"/>
            <w:tcBorders>
              <w:top w:val="single" w:color="000000" w:sz="4" w:space="0"/>
              <w:left w:val="single" w:color="000000" w:sz="4" w:space="0"/>
              <w:bottom w:val="single" w:color="000000" w:sz="4" w:space="0"/>
              <w:right w:val="single" w:color="000000" w:sz="4" w:space="0"/>
            </w:tcBorders>
            <w:vAlign w:val="center"/>
          </w:tcPr>
          <w:p w14:paraId="231D04FB">
            <w:pPr>
              <w:pStyle w:val="14"/>
              <w:kinsoku w:val="0"/>
              <w:overflowPunct w:val="0"/>
              <w:snapToGrid w:val="0"/>
              <w:jc w:val="center"/>
              <w:rPr>
                <w:rFonts w:eastAsia="仿宋"/>
                <w:color w:val="auto"/>
              </w:rPr>
            </w:pPr>
            <w:r>
              <w:rPr>
                <w:rFonts w:eastAsia="仿宋"/>
                <w:color w:val="auto"/>
              </w:rPr>
              <w:t>传真</w:t>
            </w:r>
          </w:p>
        </w:tc>
        <w:tc>
          <w:tcPr>
            <w:tcW w:w="1472" w:type="dxa"/>
            <w:tcBorders>
              <w:top w:val="single" w:color="000000" w:sz="4" w:space="0"/>
              <w:left w:val="single" w:color="000000" w:sz="4" w:space="0"/>
              <w:bottom w:val="single" w:color="000000" w:sz="4" w:space="0"/>
              <w:right w:val="single" w:color="000000" w:sz="4" w:space="0"/>
            </w:tcBorders>
            <w:vAlign w:val="center"/>
          </w:tcPr>
          <w:p w14:paraId="258E6EAF">
            <w:pPr>
              <w:pStyle w:val="14"/>
              <w:kinsoku w:val="0"/>
              <w:overflowPunct w:val="0"/>
              <w:snapToGrid w:val="0"/>
              <w:jc w:val="center"/>
              <w:rPr>
                <w:rFonts w:eastAsia="仿宋"/>
                <w:color w:val="auto"/>
              </w:rPr>
            </w:pPr>
            <w:r>
              <w:rPr>
                <w:rFonts w:eastAsia="仿宋"/>
                <w:color w:val="auto"/>
              </w:rPr>
              <w:t>/</w:t>
            </w:r>
          </w:p>
        </w:tc>
        <w:tc>
          <w:tcPr>
            <w:tcW w:w="1221" w:type="dxa"/>
            <w:tcBorders>
              <w:top w:val="single" w:color="000000" w:sz="4" w:space="0"/>
              <w:left w:val="single" w:color="000000" w:sz="4" w:space="0"/>
              <w:bottom w:val="single" w:color="000000" w:sz="4" w:space="0"/>
              <w:right w:val="single" w:color="000000" w:sz="4" w:space="0"/>
            </w:tcBorders>
            <w:vAlign w:val="center"/>
          </w:tcPr>
          <w:p w14:paraId="4D4C1237">
            <w:pPr>
              <w:pStyle w:val="14"/>
              <w:kinsoku w:val="0"/>
              <w:overflowPunct w:val="0"/>
              <w:snapToGrid w:val="0"/>
              <w:jc w:val="center"/>
              <w:rPr>
                <w:rFonts w:eastAsia="仿宋"/>
                <w:color w:val="auto"/>
              </w:rPr>
            </w:pPr>
            <w:r>
              <w:rPr>
                <w:rFonts w:eastAsia="仿宋"/>
                <w:color w:val="auto"/>
              </w:rPr>
              <w:t>邮编</w:t>
            </w:r>
          </w:p>
        </w:tc>
        <w:tc>
          <w:tcPr>
            <w:tcW w:w="1590" w:type="dxa"/>
            <w:tcBorders>
              <w:top w:val="single" w:color="000000" w:sz="4" w:space="0"/>
              <w:left w:val="single" w:color="000000" w:sz="4" w:space="0"/>
              <w:bottom w:val="single" w:color="000000" w:sz="4" w:space="0"/>
              <w:right w:val="single" w:color="000000" w:sz="4" w:space="0"/>
            </w:tcBorders>
            <w:vAlign w:val="center"/>
          </w:tcPr>
          <w:p w14:paraId="38D4A16B">
            <w:pPr>
              <w:pStyle w:val="14"/>
              <w:kinsoku w:val="0"/>
              <w:overflowPunct w:val="0"/>
              <w:snapToGrid w:val="0"/>
              <w:jc w:val="center"/>
              <w:rPr>
                <w:rFonts w:eastAsia="仿宋"/>
                <w:color w:val="auto"/>
              </w:rPr>
            </w:pPr>
            <w:r>
              <w:rPr>
                <w:rFonts w:eastAsia="仿宋"/>
                <w:color w:val="auto"/>
              </w:rPr>
              <w:t>222000</w:t>
            </w:r>
          </w:p>
        </w:tc>
      </w:tr>
      <w:tr w14:paraId="7CF0B55E">
        <w:tblPrEx>
          <w:tblCellMar>
            <w:top w:w="0" w:type="dxa"/>
            <w:left w:w="0" w:type="dxa"/>
            <w:bottom w:w="0" w:type="dxa"/>
            <w:right w:w="0" w:type="dxa"/>
          </w:tblCellMar>
        </w:tblPrEx>
        <w:trPr>
          <w:trHeight w:val="340" w:hRule="atLeast"/>
          <w:jc w:val="center"/>
        </w:trPr>
        <w:tc>
          <w:tcPr>
            <w:tcW w:w="2010" w:type="dxa"/>
            <w:tcBorders>
              <w:top w:val="single" w:color="000000" w:sz="4" w:space="0"/>
              <w:left w:val="single" w:color="000000" w:sz="4" w:space="0"/>
              <w:bottom w:val="single" w:color="000000" w:sz="4" w:space="0"/>
              <w:right w:val="single" w:color="000000" w:sz="4" w:space="0"/>
            </w:tcBorders>
            <w:vAlign w:val="center"/>
          </w:tcPr>
          <w:p w14:paraId="3F080CC4">
            <w:pPr>
              <w:pStyle w:val="14"/>
              <w:kinsoku w:val="0"/>
              <w:overflowPunct w:val="0"/>
              <w:snapToGrid w:val="0"/>
              <w:jc w:val="center"/>
              <w:rPr>
                <w:rFonts w:eastAsia="仿宋"/>
                <w:color w:val="auto"/>
              </w:rPr>
            </w:pPr>
            <w:r>
              <w:rPr>
                <w:rFonts w:eastAsia="仿宋"/>
                <w:color w:val="auto"/>
              </w:rPr>
              <w:t>建设地点</w:t>
            </w:r>
          </w:p>
        </w:tc>
        <w:tc>
          <w:tcPr>
            <w:tcW w:w="7513" w:type="dxa"/>
            <w:gridSpan w:val="6"/>
            <w:tcBorders>
              <w:top w:val="single" w:color="000000" w:sz="4" w:space="0"/>
              <w:left w:val="single" w:color="000000" w:sz="4" w:space="0"/>
              <w:bottom w:val="single" w:color="000000" w:sz="4" w:space="0"/>
              <w:right w:val="single" w:color="000000" w:sz="4" w:space="0"/>
            </w:tcBorders>
            <w:vAlign w:val="center"/>
          </w:tcPr>
          <w:p w14:paraId="1C0D6A18">
            <w:pPr>
              <w:pStyle w:val="14"/>
              <w:kinsoku w:val="0"/>
              <w:overflowPunct w:val="0"/>
              <w:snapToGrid w:val="0"/>
              <w:jc w:val="center"/>
              <w:rPr>
                <w:rFonts w:eastAsia="仿宋"/>
                <w:color w:val="auto"/>
              </w:rPr>
            </w:pPr>
            <w:r>
              <w:rPr>
                <w:rFonts w:eastAsia="仿宋"/>
                <w:color w:val="auto"/>
              </w:rPr>
              <w:t>江苏省连云港市国家东中西区域合作示范区</w:t>
            </w:r>
          </w:p>
        </w:tc>
      </w:tr>
      <w:tr w14:paraId="14A54AFF">
        <w:tblPrEx>
          <w:tblCellMar>
            <w:top w:w="0" w:type="dxa"/>
            <w:left w:w="0" w:type="dxa"/>
            <w:bottom w:w="0" w:type="dxa"/>
            <w:right w:w="0" w:type="dxa"/>
          </w:tblCellMar>
        </w:tblPrEx>
        <w:trPr>
          <w:trHeight w:val="340" w:hRule="atLeast"/>
          <w:jc w:val="center"/>
        </w:trPr>
        <w:tc>
          <w:tcPr>
            <w:tcW w:w="2010" w:type="dxa"/>
            <w:tcBorders>
              <w:top w:val="single" w:color="000000" w:sz="4" w:space="0"/>
              <w:left w:val="single" w:color="000000" w:sz="4" w:space="0"/>
              <w:bottom w:val="single" w:color="000000" w:sz="4" w:space="0"/>
              <w:right w:val="single" w:color="000000" w:sz="4" w:space="0"/>
            </w:tcBorders>
            <w:vAlign w:val="center"/>
          </w:tcPr>
          <w:p w14:paraId="4C85FB7D">
            <w:pPr>
              <w:pStyle w:val="14"/>
              <w:kinsoku w:val="0"/>
              <w:overflowPunct w:val="0"/>
              <w:snapToGrid w:val="0"/>
              <w:jc w:val="center"/>
              <w:rPr>
                <w:rFonts w:eastAsia="仿宋"/>
                <w:color w:val="auto"/>
              </w:rPr>
            </w:pPr>
            <w:r>
              <w:rPr>
                <w:rFonts w:eastAsia="仿宋"/>
                <w:color w:val="auto"/>
              </w:rPr>
              <w:t>项目性质</w:t>
            </w:r>
          </w:p>
        </w:tc>
        <w:tc>
          <w:tcPr>
            <w:tcW w:w="3230" w:type="dxa"/>
            <w:gridSpan w:val="3"/>
            <w:tcBorders>
              <w:top w:val="single" w:color="000000" w:sz="4" w:space="0"/>
              <w:left w:val="single" w:color="000000" w:sz="4" w:space="0"/>
              <w:bottom w:val="single" w:color="000000" w:sz="4" w:space="0"/>
              <w:right w:val="single" w:color="000000" w:sz="4" w:space="0"/>
            </w:tcBorders>
            <w:vAlign w:val="center"/>
          </w:tcPr>
          <w:p w14:paraId="2602A079">
            <w:pPr>
              <w:pStyle w:val="14"/>
              <w:kinsoku w:val="0"/>
              <w:overflowPunct w:val="0"/>
              <w:snapToGrid w:val="0"/>
              <w:jc w:val="center"/>
              <w:rPr>
                <w:rFonts w:eastAsia="仿宋"/>
                <w:color w:val="auto"/>
              </w:rPr>
            </w:pPr>
            <w:r>
              <w:rPr>
                <w:rFonts w:eastAsia="仿宋"/>
                <w:color w:val="auto"/>
              </w:rPr>
              <w:t>√新建  改扩建  技改</w:t>
            </w:r>
          </w:p>
        </w:tc>
        <w:tc>
          <w:tcPr>
            <w:tcW w:w="1472" w:type="dxa"/>
            <w:tcBorders>
              <w:top w:val="single" w:color="000000" w:sz="4" w:space="0"/>
              <w:left w:val="single" w:color="000000" w:sz="4" w:space="0"/>
              <w:bottom w:val="single" w:color="000000" w:sz="4" w:space="0"/>
              <w:right w:val="single" w:color="000000" w:sz="4" w:space="0"/>
            </w:tcBorders>
            <w:vAlign w:val="center"/>
          </w:tcPr>
          <w:p w14:paraId="06E22211">
            <w:pPr>
              <w:pStyle w:val="14"/>
              <w:kinsoku w:val="0"/>
              <w:overflowPunct w:val="0"/>
              <w:snapToGrid w:val="0"/>
              <w:jc w:val="center"/>
              <w:rPr>
                <w:rFonts w:eastAsia="仿宋"/>
                <w:color w:val="auto"/>
              </w:rPr>
            </w:pPr>
            <w:r>
              <w:rPr>
                <w:rFonts w:eastAsia="仿宋"/>
                <w:color w:val="auto"/>
              </w:rPr>
              <w:t>行业类别</w:t>
            </w:r>
          </w:p>
        </w:tc>
        <w:tc>
          <w:tcPr>
            <w:tcW w:w="2811" w:type="dxa"/>
            <w:gridSpan w:val="2"/>
            <w:tcBorders>
              <w:top w:val="single" w:color="000000" w:sz="4" w:space="0"/>
              <w:left w:val="single" w:color="000000" w:sz="4" w:space="0"/>
              <w:bottom w:val="single" w:color="000000" w:sz="4" w:space="0"/>
              <w:right w:val="single" w:color="000000" w:sz="4" w:space="0"/>
            </w:tcBorders>
            <w:vAlign w:val="center"/>
          </w:tcPr>
          <w:p w14:paraId="02C0A6D6">
            <w:pPr>
              <w:pStyle w:val="14"/>
              <w:kinsoku w:val="0"/>
              <w:overflowPunct w:val="0"/>
              <w:snapToGrid w:val="0"/>
              <w:jc w:val="center"/>
              <w:rPr>
                <w:rFonts w:eastAsia="仿宋"/>
                <w:color w:val="auto"/>
              </w:rPr>
            </w:pPr>
            <w:r>
              <w:rPr>
                <w:rFonts w:eastAsia="仿宋"/>
                <w:color w:val="auto"/>
              </w:rPr>
              <w:t>148 危险化学品输送管线（不含企业厂区内管线）</w:t>
            </w:r>
          </w:p>
        </w:tc>
      </w:tr>
      <w:tr w14:paraId="38BB8C31">
        <w:tblPrEx>
          <w:tblCellMar>
            <w:top w:w="0" w:type="dxa"/>
            <w:left w:w="0" w:type="dxa"/>
            <w:bottom w:w="0" w:type="dxa"/>
            <w:right w:w="0" w:type="dxa"/>
          </w:tblCellMar>
        </w:tblPrEx>
        <w:trPr>
          <w:trHeight w:val="340" w:hRule="atLeast"/>
          <w:jc w:val="center"/>
        </w:trPr>
        <w:tc>
          <w:tcPr>
            <w:tcW w:w="2010" w:type="dxa"/>
            <w:tcBorders>
              <w:top w:val="single" w:color="000000" w:sz="4" w:space="0"/>
              <w:left w:val="single" w:color="000000" w:sz="4" w:space="0"/>
              <w:bottom w:val="single" w:color="000000" w:sz="4" w:space="0"/>
              <w:right w:val="single" w:color="000000" w:sz="4" w:space="0"/>
            </w:tcBorders>
            <w:vAlign w:val="center"/>
          </w:tcPr>
          <w:p w14:paraId="140CB9EF">
            <w:pPr>
              <w:pStyle w:val="14"/>
              <w:kinsoku w:val="0"/>
              <w:overflowPunct w:val="0"/>
              <w:snapToGrid w:val="0"/>
              <w:jc w:val="center"/>
              <w:rPr>
                <w:rFonts w:eastAsia="仿宋"/>
                <w:color w:val="auto"/>
              </w:rPr>
            </w:pPr>
            <w:r>
              <w:rPr>
                <w:rFonts w:eastAsia="仿宋"/>
                <w:color w:val="auto"/>
              </w:rPr>
              <w:t>环境影响报告表名称</w:t>
            </w:r>
          </w:p>
        </w:tc>
        <w:tc>
          <w:tcPr>
            <w:tcW w:w="7513" w:type="dxa"/>
            <w:gridSpan w:val="6"/>
            <w:tcBorders>
              <w:top w:val="single" w:color="000000" w:sz="4" w:space="0"/>
              <w:left w:val="single" w:color="000000" w:sz="4" w:space="0"/>
              <w:bottom w:val="single" w:color="000000" w:sz="4" w:space="0"/>
              <w:right w:val="single" w:color="000000" w:sz="4" w:space="0"/>
            </w:tcBorders>
            <w:vAlign w:val="center"/>
          </w:tcPr>
          <w:p w14:paraId="7AB979B7">
            <w:pPr>
              <w:pStyle w:val="14"/>
              <w:kinsoku w:val="0"/>
              <w:overflowPunct w:val="0"/>
              <w:snapToGrid w:val="0"/>
              <w:jc w:val="center"/>
              <w:rPr>
                <w:rFonts w:eastAsia="仿宋"/>
                <w:color w:val="auto"/>
              </w:rPr>
            </w:pPr>
            <w:r>
              <w:rPr>
                <w:rFonts w:eastAsia="仿宋"/>
                <w:color w:val="auto"/>
              </w:rPr>
              <w:t>连云港荣泰化工仓储有限公司技改优化提升项目</w:t>
            </w:r>
          </w:p>
        </w:tc>
      </w:tr>
      <w:tr w14:paraId="2A45F24D">
        <w:tblPrEx>
          <w:tblCellMar>
            <w:top w:w="0" w:type="dxa"/>
            <w:left w:w="0" w:type="dxa"/>
            <w:bottom w:w="0" w:type="dxa"/>
            <w:right w:w="0" w:type="dxa"/>
          </w:tblCellMar>
        </w:tblPrEx>
        <w:trPr>
          <w:trHeight w:val="340" w:hRule="atLeast"/>
          <w:jc w:val="center"/>
        </w:trPr>
        <w:tc>
          <w:tcPr>
            <w:tcW w:w="2010" w:type="dxa"/>
            <w:tcBorders>
              <w:top w:val="single" w:color="000000" w:sz="4" w:space="0"/>
              <w:left w:val="single" w:color="000000" w:sz="4" w:space="0"/>
              <w:bottom w:val="single" w:color="000000" w:sz="4" w:space="0"/>
              <w:right w:val="single" w:color="000000" w:sz="4" w:space="0"/>
            </w:tcBorders>
            <w:vAlign w:val="center"/>
          </w:tcPr>
          <w:p w14:paraId="6F572B71">
            <w:pPr>
              <w:pStyle w:val="14"/>
              <w:kinsoku w:val="0"/>
              <w:overflowPunct w:val="0"/>
              <w:snapToGrid w:val="0"/>
              <w:jc w:val="center"/>
              <w:rPr>
                <w:rFonts w:eastAsia="仿宋"/>
                <w:color w:val="auto"/>
              </w:rPr>
            </w:pPr>
            <w:r>
              <w:rPr>
                <w:rFonts w:eastAsia="仿宋"/>
                <w:color w:val="auto"/>
              </w:rPr>
              <w:t>环境影响评价单位</w:t>
            </w:r>
          </w:p>
        </w:tc>
        <w:tc>
          <w:tcPr>
            <w:tcW w:w="7513" w:type="dxa"/>
            <w:gridSpan w:val="6"/>
            <w:tcBorders>
              <w:top w:val="single" w:color="000000" w:sz="4" w:space="0"/>
              <w:left w:val="single" w:color="000000" w:sz="4" w:space="0"/>
              <w:bottom w:val="single" w:color="000000" w:sz="4" w:space="0"/>
              <w:right w:val="single" w:color="000000" w:sz="4" w:space="0"/>
            </w:tcBorders>
            <w:vAlign w:val="center"/>
          </w:tcPr>
          <w:p w14:paraId="164F2C12">
            <w:pPr>
              <w:pStyle w:val="14"/>
              <w:kinsoku w:val="0"/>
              <w:overflowPunct w:val="0"/>
              <w:snapToGrid w:val="0"/>
              <w:jc w:val="center"/>
              <w:rPr>
                <w:rFonts w:eastAsia="仿宋"/>
                <w:color w:val="auto"/>
              </w:rPr>
            </w:pPr>
            <w:r>
              <w:rPr>
                <w:rFonts w:hint="eastAsia" w:eastAsia="仿宋"/>
                <w:color w:val="auto"/>
              </w:rPr>
              <w:t>中蓝连海设计研究院有限公司</w:t>
            </w:r>
          </w:p>
        </w:tc>
      </w:tr>
      <w:tr w14:paraId="52186AA8">
        <w:tblPrEx>
          <w:tblCellMar>
            <w:top w:w="0" w:type="dxa"/>
            <w:left w:w="0" w:type="dxa"/>
            <w:bottom w:w="0" w:type="dxa"/>
            <w:right w:w="0" w:type="dxa"/>
          </w:tblCellMar>
        </w:tblPrEx>
        <w:trPr>
          <w:trHeight w:val="340" w:hRule="atLeast"/>
          <w:jc w:val="center"/>
        </w:trPr>
        <w:tc>
          <w:tcPr>
            <w:tcW w:w="2010" w:type="dxa"/>
            <w:tcBorders>
              <w:top w:val="single" w:color="000000" w:sz="4" w:space="0"/>
              <w:left w:val="single" w:color="000000" w:sz="4" w:space="0"/>
              <w:bottom w:val="single" w:color="000000" w:sz="4" w:space="0"/>
              <w:right w:val="single" w:color="000000" w:sz="4" w:space="0"/>
            </w:tcBorders>
            <w:vAlign w:val="center"/>
          </w:tcPr>
          <w:p w14:paraId="693E70E7">
            <w:pPr>
              <w:pStyle w:val="14"/>
              <w:kinsoku w:val="0"/>
              <w:overflowPunct w:val="0"/>
              <w:snapToGrid w:val="0"/>
              <w:jc w:val="center"/>
              <w:rPr>
                <w:rFonts w:eastAsia="仿宋"/>
                <w:color w:val="auto"/>
              </w:rPr>
            </w:pPr>
            <w:r>
              <w:rPr>
                <w:rFonts w:eastAsia="仿宋"/>
                <w:color w:val="auto"/>
              </w:rPr>
              <w:t>环境影响评价审批部门</w:t>
            </w:r>
          </w:p>
        </w:tc>
        <w:tc>
          <w:tcPr>
            <w:tcW w:w="1920" w:type="dxa"/>
            <w:tcBorders>
              <w:top w:val="single" w:color="000000" w:sz="4" w:space="0"/>
              <w:left w:val="single" w:color="000000" w:sz="4" w:space="0"/>
              <w:bottom w:val="single" w:color="000000" w:sz="4" w:space="0"/>
              <w:right w:val="single" w:color="000000" w:sz="4" w:space="0"/>
            </w:tcBorders>
            <w:vAlign w:val="center"/>
          </w:tcPr>
          <w:p w14:paraId="18422C4B">
            <w:pPr>
              <w:pStyle w:val="14"/>
              <w:kinsoku w:val="0"/>
              <w:overflowPunct w:val="0"/>
              <w:snapToGrid w:val="0"/>
              <w:jc w:val="center"/>
              <w:rPr>
                <w:rFonts w:eastAsia="仿宋"/>
                <w:color w:val="auto"/>
              </w:rPr>
            </w:pPr>
            <w:r>
              <w:rPr>
                <w:rFonts w:eastAsia="仿宋"/>
                <w:color w:val="auto"/>
              </w:rPr>
              <w:t>国家东中西区域合作示范区(连云港徐圩新区)环境保护局</w:t>
            </w:r>
          </w:p>
        </w:tc>
        <w:tc>
          <w:tcPr>
            <w:tcW w:w="1310" w:type="dxa"/>
            <w:gridSpan w:val="2"/>
            <w:tcBorders>
              <w:top w:val="single" w:color="000000" w:sz="4" w:space="0"/>
              <w:left w:val="single" w:color="000000" w:sz="4" w:space="0"/>
              <w:bottom w:val="single" w:color="000000" w:sz="4" w:space="0"/>
              <w:right w:val="single" w:color="000000" w:sz="4" w:space="0"/>
            </w:tcBorders>
            <w:vAlign w:val="center"/>
          </w:tcPr>
          <w:p w14:paraId="67D8792C">
            <w:pPr>
              <w:pStyle w:val="14"/>
              <w:kinsoku w:val="0"/>
              <w:overflowPunct w:val="0"/>
              <w:snapToGrid w:val="0"/>
              <w:jc w:val="center"/>
              <w:rPr>
                <w:rFonts w:eastAsia="仿宋"/>
                <w:color w:val="auto"/>
              </w:rPr>
            </w:pPr>
            <w:r>
              <w:rPr>
                <w:rFonts w:eastAsia="仿宋"/>
                <w:color w:val="auto"/>
              </w:rPr>
              <w:t>文号</w:t>
            </w:r>
          </w:p>
        </w:tc>
        <w:tc>
          <w:tcPr>
            <w:tcW w:w="1472" w:type="dxa"/>
            <w:tcBorders>
              <w:top w:val="single" w:color="000000" w:sz="4" w:space="0"/>
              <w:left w:val="single" w:color="000000" w:sz="4" w:space="0"/>
              <w:bottom w:val="single" w:color="000000" w:sz="4" w:space="0"/>
              <w:right w:val="single" w:color="000000" w:sz="4" w:space="0"/>
            </w:tcBorders>
            <w:vAlign w:val="center"/>
          </w:tcPr>
          <w:p w14:paraId="431690BB">
            <w:pPr>
              <w:pStyle w:val="14"/>
              <w:kinsoku w:val="0"/>
              <w:overflowPunct w:val="0"/>
              <w:snapToGrid w:val="0"/>
              <w:jc w:val="center"/>
              <w:rPr>
                <w:rFonts w:eastAsia="仿宋"/>
                <w:color w:val="auto"/>
              </w:rPr>
            </w:pPr>
            <w:r>
              <w:rPr>
                <w:rFonts w:eastAsia="仿宋"/>
                <w:color w:val="auto"/>
              </w:rPr>
              <w:t>示范区环审[202</w:t>
            </w:r>
            <w:r>
              <w:rPr>
                <w:rFonts w:hint="eastAsia" w:eastAsia="仿宋"/>
                <w:color w:val="auto"/>
              </w:rPr>
              <w:t>4</w:t>
            </w:r>
            <w:r>
              <w:rPr>
                <w:rFonts w:eastAsia="仿宋"/>
                <w:color w:val="auto"/>
              </w:rPr>
              <w:t>]</w:t>
            </w:r>
            <w:r>
              <w:rPr>
                <w:rFonts w:hint="eastAsia" w:eastAsia="仿宋"/>
                <w:color w:val="auto"/>
              </w:rPr>
              <w:t>27</w:t>
            </w:r>
            <w:r>
              <w:rPr>
                <w:rFonts w:eastAsia="仿宋"/>
                <w:color w:val="auto"/>
              </w:rPr>
              <w:t>号</w:t>
            </w:r>
          </w:p>
        </w:tc>
        <w:tc>
          <w:tcPr>
            <w:tcW w:w="1221" w:type="dxa"/>
            <w:tcBorders>
              <w:top w:val="single" w:color="000000" w:sz="4" w:space="0"/>
              <w:left w:val="single" w:color="000000" w:sz="4" w:space="0"/>
              <w:bottom w:val="single" w:color="000000" w:sz="4" w:space="0"/>
              <w:right w:val="single" w:color="000000" w:sz="4" w:space="0"/>
            </w:tcBorders>
            <w:vAlign w:val="center"/>
          </w:tcPr>
          <w:p w14:paraId="035DF9BE">
            <w:pPr>
              <w:pStyle w:val="14"/>
              <w:kinsoku w:val="0"/>
              <w:overflowPunct w:val="0"/>
              <w:snapToGrid w:val="0"/>
              <w:jc w:val="center"/>
              <w:rPr>
                <w:rFonts w:eastAsia="仿宋"/>
                <w:color w:val="auto"/>
              </w:rPr>
            </w:pPr>
            <w:r>
              <w:rPr>
                <w:rFonts w:eastAsia="仿宋"/>
                <w:color w:val="auto"/>
              </w:rPr>
              <w:t>时间</w:t>
            </w:r>
          </w:p>
        </w:tc>
        <w:tc>
          <w:tcPr>
            <w:tcW w:w="1590" w:type="dxa"/>
            <w:tcBorders>
              <w:top w:val="single" w:color="000000" w:sz="4" w:space="0"/>
              <w:left w:val="single" w:color="000000" w:sz="4" w:space="0"/>
              <w:bottom w:val="single" w:color="000000" w:sz="4" w:space="0"/>
              <w:right w:val="single" w:color="000000" w:sz="4" w:space="0"/>
            </w:tcBorders>
            <w:vAlign w:val="center"/>
          </w:tcPr>
          <w:p w14:paraId="4C7274FD">
            <w:pPr>
              <w:snapToGrid w:val="0"/>
              <w:jc w:val="center"/>
              <w:rPr>
                <w:rFonts w:eastAsia="仿宋"/>
                <w:color w:val="auto"/>
              </w:rPr>
            </w:pPr>
            <w:r>
              <w:rPr>
                <w:rFonts w:eastAsia="仿宋"/>
                <w:color w:val="auto"/>
              </w:rPr>
              <w:t>202</w:t>
            </w:r>
            <w:r>
              <w:rPr>
                <w:rFonts w:hint="eastAsia" w:eastAsia="仿宋"/>
                <w:color w:val="auto"/>
              </w:rPr>
              <w:t>4</w:t>
            </w:r>
            <w:r>
              <w:rPr>
                <w:rFonts w:eastAsia="仿宋"/>
                <w:color w:val="auto"/>
              </w:rPr>
              <w:t>.</w:t>
            </w:r>
            <w:r>
              <w:rPr>
                <w:rFonts w:hint="eastAsia" w:eastAsia="仿宋"/>
                <w:color w:val="auto"/>
              </w:rPr>
              <w:t>8</w:t>
            </w:r>
            <w:r>
              <w:rPr>
                <w:rFonts w:eastAsia="仿宋"/>
                <w:color w:val="auto"/>
              </w:rPr>
              <w:t>.</w:t>
            </w:r>
            <w:r>
              <w:rPr>
                <w:rFonts w:hint="eastAsia" w:eastAsia="仿宋"/>
                <w:color w:val="auto"/>
              </w:rPr>
              <w:t>7</w:t>
            </w:r>
          </w:p>
        </w:tc>
      </w:tr>
      <w:tr w14:paraId="6DECEB78">
        <w:tblPrEx>
          <w:tblCellMar>
            <w:top w:w="0" w:type="dxa"/>
            <w:left w:w="0" w:type="dxa"/>
            <w:bottom w:w="0" w:type="dxa"/>
            <w:right w:w="0" w:type="dxa"/>
          </w:tblCellMar>
        </w:tblPrEx>
        <w:trPr>
          <w:trHeight w:val="340" w:hRule="atLeast"/>
          <w:jc w:val="center"/>
        </w:trPr>
        <w:tc>
          <w:tcPr>
            <w:tcW w:w="2010" w:type="dxa"/>
            <w:tcBorders>
              <w:top w:val="single" w:color="000000" w:sz="4" w:space="0"/>
              <w:left w:val="single" w:color="000000" w:sz="4" w:space="0"/>
              <w:bottom w:val="single" w:color="000000" w:sz="4" w:space="0"/>
              <w:right w:val="single" w:color="000000" w:sz="4" w:space="0"/>
            </w:tcBorders>
            <w:vAlign w:val="center"/>
          </w:tcPr>
          <w:p w14:paraId="6619644C">
            <w:pPr>
              <w:pStyle w:val="14"/>
              <w:kinsoku w:val="0"/>
              <w:overflowPunct w:val="0"/>
              <w:snapToGrid w:val="0"/>
              <w:jc w:val="center"/>
              <w:rPr>
                <w:rFonts w:eastAsia="仿宋"/>
                <w:color w:val="auto"/>
                <w:highlight w:val="none"/>
              </w:rPr>
            </w:pPr>
            <w:r>
              <w:rPr>
                <w:rFonts w:eastAsia="仿宋"/>
                <w:color w:val="auto"/>
                <w:highlight w:val="none"/>
              </w:rPr>
              <w:t>开工建设时间</w:t>
            </w:r>
          </w:p>
        </w:tc>
        <w:tc>
          <w:tcPr>
            <w:tcW w:w="3230" w:type="dxa"/>
            <w:gridSpan w:val="3"/>
            <w:tcBorders>
              <w:top w:val="single" w:color="000000" w:sz="4" w:space="0"/>
              <w:left w:val="single" w:color="000000" w:sz="4" w:space="0"/>
              <w:bottom w:val="single" w:color="000000" w:sz="4" w:space="0"/>
              <w:right w:val="single" w:color="000000" w:sz="4" w:space="0"/>
            </w:tcBorders>
            <w:vAlign w:val="center"/>
          </w:tcPr>
          <w:p w14:paraId="2C9F1C99">
            <w:pPr>
              <w:pStyle w:val="14"/>
              <w:kinsoku w:val="0"/>
              <w:overflowPunct w:val="0"/>
              <w:snapToGrid w:val="0"/>
              <w:jc w:val="center"/>
              <w:rPr>
                <w:rFonts w:eastAsia="仿宋"/>
                <w:color w:val="auto"/>
                <w:highlight w:val="none"/>
              </w:rPr>
            </w:pPr>
            <w:r>
              <w:rPr>
                <w:rFonts w:eastAsia="仿宋"/>
                <w:color w:val="auto"/>
                <w:highlight w:val="none"/>
              </w:rPr>
              <w:t>202</w:t>
            </w:r>
            <w:r>
              <w:rPr>
                <w:rFonts w:hint="eastAsia" w:eastAsia="仿宋"/>
                <w:color w:val="auto"/>
                <w:highlight w:val="none"/>
                <w:lang w:val="en-US" w:eastAsia="zh-CN"/>
              </w:rPr>
              <w:t>5</w:t>
            </w:r>
            <w:r>
              <w:rPr>
                <w:rFonts w:eastAsia="仿宋"/>
                <w:color w:val="auto"/>
                <w:highlight w:val="none"/>
              </w:rPr>
              <w:t>年</w:t>
            </w:r>
            <w:r>
              <w:rPr>
                <w:rFonts w:hint="eastAsia" w:eastAsia="仿宋"/>
                <w:color w:val="auto"/>
                <w:highlight w:val="none"/>
                <w:lang w:val="en-US" w:eastAsia="zh-CN"/>
              </w:rPr>
              <w:t>5</w:t>
            </w:r>
            <w:r>
              <w:rPr>
                <w:rFonts w:eastAsia="仿宋"/>
                <w:color w:val="auto"/>
                <w:highlight w:val="none"/>
              </w:rPr>
              <w:t>月</w:t>
            </w:r>
          </w:p>
        </w:tc>
        <w:tc>
          <w:tcPr>
            <w:tcW w:w="1472" w:type="dxa"/>
            <w:tcBorders>
              <w:top w:val="single" w:color="000000" w:sz="4" w:space="0"/>
              <w:left w:val="single" w:color="000000" w:sz="4" w:space="0"/>
              <w:bottom w:val="single" w:color="000000" w:sz="4" w:space="0"/>
              <w:right w:val="single" w:color="000000" w:sz="4" w:space="0"/>
            </w:tcBorders>
            <w:vAlign w:val="center"/>
          </w:tcPr>
          <w:p w14:paraId="7ADFD7F3">
            <w:pPr>
              <w:pStyle w:val="14"/>
              <w:kinsoku w:val="0"/>
              <w:overflowPunct w:val="0"/>
              <w:snapToGrid w:val="0"/>
              <w:jc w:val="center"/>
              <w:rPr>
                <w:rFonts w:eastAsia="仿宋"/>
                <w:color w:val="auto"/>
                <w:highlight w:val="none"/>
              </w:rPr>
            </w:pPr>
            <w:r>
              <w:rPr>
                <w:rFonts w:eastAsia="仿宋"/>
                <w:color w:val="auto"/>
                <w:highlight w:val="none"/>
              </w:rPr>
              <w:t>工程竣工时间</w:t>
            </w:r>
          </w:p>
        </w:tc>
        <w:tc>
          <w:tcPr>
            <w:tcW w:w="2811" w:type="dxa"/>
            <w:gridSpan w:val="2"/>
            <w:tcBorders>
              <w:top w:val="single" w:color="000000" w:sz="4" w:space="0"/>
              <w:left w:val="single" w:color="000000" w:sz="4" w:space="0"/>
              <w:bottom w:val="single" w:color="000000" w:sz="4" w:space="0"/>
              <w:right w:val="single" w:color="000000" w:sz="4" w:space="0"/>
            </w:tcBorders>
            <w:vAlign w:val="center"/>
          </w:tcPr>
          <w:p w14:paraId="373ECA25">
            <w:pPr>
              <w:snapToGrid w:val="0"/>
              <w:jc w:val="center"/>
              <w:rPr>
                <w:rFonts w:eastAsia="仿宋"/>
                <w:color w:val="auto"/>
                <w:highlight w:val="none"/>
              </w:rPr>
            </w:pPr>
            <w:r>
              <w:rPr>
                <w:rFonts w:eastAsia="仿宋"/>
                <w:color w:val="auto"/>
                <w:highlight w:val="none"/>
              </w:rPr>
              <w:t>202</w:t>
            </w:r>
            <w:r>
              <w:rPr>
                <w:rFonts w:hint="eastAsia" w:eastAsia="仿宋"/>
                <w:color w:val="auto"/>
                <w:highlight w:val="none"/>
              </w:rPr>
              <w:t>5</w:t>
            </w:r>
            <w:r>
              <w:rPr>
                <w:rFonts w:eastAsia="仿宋"/>
                <w:color w:val="auto"/>
                <w:highlight w:val="none"/>
              </w:rPr>
              <w:t>年</w:t>
            </w:r>
            <w:r>
              <w:rPr>
                <w:rFonts w:hint="eastAsia" w:eastAsia="仿宋"/>
                <w:color w:val="auto"/>
                <w:highlight w:val="none"/>
                <w:lang w:val="en-US" w:eastAsia="zh-CN"/>
              </w:rPr>
              <w:t>8</w:t>
            </w:r>
            <w:r>
              <w:rPr>
                <w:rFonts w:eastAsia="仿宋"/>
                <w:color w:val="auto"/>
                <w:highlight w:val="none"/>
              </w:rPr>
              <w:t>月</w:t>
            </w:r>
          </w:p>
        </w:tc>
      </w:tr>
      <w:tr w14:paraId="77BB90CF">
        <w:tblPrEx>
          <w:tblCellMar>
            <w:top w:w="0" w:type="dxa"/>
            <w:left w:w="0" w:type="dxa"/>
            <w:bottom w:w="0" w:type="dxa"/>
            <w:right w:w="0" w:type="dxa"/>
          </w:tblCellMar>
        </w:tblPrEx>
        <w:trPr>
          <w:trHeight w:val="340" w:hRule="atLeast"/>
          <w:jc w:val="center"/>
        </w:trPr>
        <w:tc>
          <w:tcPr>
            <w:tcW w:w="2010" w:type="dxa"/>
            <w:tcBorders>
              <w:top w:val="single" w:color="000000" w:sz="4" w:space="0"/>
              <w:left w:val="single" w:color="000000" w:sz="4" w:space="0"/>
              <w:bottom w:val="single" w:color="000000" w:sz="4" w:space="0"/>
              <w:right w:val="single" w:color="000000" w:sz="4" w:space="0"/>
            </w:tcBorders>
            <w:vAlign w:val="center"/>
          </w:tcPr>
          <w:p w14:paraId="76F2196C">
            <w:pPr>
              <w:pStyle w:val="14"/>
              <w:kinsoku w:val="0"/>
              <w:overflowPunct w:val="0"/>
              <w:snapToGrid w:val="0"/>
              <w:jc w:val="center"/>
              <w:rPr>
                <w:rFonts w:eastAsia="仿宋"/>
                <w:color w:val="auto"/>
              </w:rPr>
            </w:pPr>
            <w:r>
              <w:rPr>
                <w:rFonts w:eastAsia="仿宋"/>
                <w:color w:val="auto"/>
              </w:rPr>
              <w:t>验收调查单位</w:t>
            </w:r>
          </w:p>
        </w:tc>
        <w:tc>
          <w:tcPr>
            <w:tcW w:w="3230" w:type="dxa"/>
            <w:gridSpan w:val="3"/>
            <w:tcBorders>
              <w:top w:val="single" w:color="000000" w:sz="4" w:space="0"/>
              <w:left w:val="single" w:color="000000" w:sz="4" w:space="0"/>
              <w:bottom w:val="single" w:color="000000" w:sz="4" w:space="0"/>
              <w:right w:val="single" w:color="000000" w:sz="4" w:space="0"/>
            </w:tcBorders>
            <w:vAlign w:val="center"/>
          </w:tcPr>
          <w:p w14:paraId="6E8A837A">
            <w:pPr>
              <w:snapToGrid w:val="0"/>
              <w:jc w:val="center"/>
              <w:rPr>
                <w:rFonts w:eastAsia="仿宋"/>
                <w:color w:val="auto"/>
              </w:rPr>
            </w:pPr>
            <w:r>
              <w:rPr>
                <w:rFonts w:eastAsia="仿宋"/>
                <w:color w:val="auto"/>
              </w:rPr>
              <w:t>江苏智盛环境科技有限公司</w:t>
            </w:r>
          </w:p>
        </w:tc>
        <w:tc>
          <w:tcPr>
            <w:tcW w:w="1472" w:type="dxa"/>
            <w:tcBorders>
              <w:top w:val="single" w:color="000000" w:sz="4" w:space="0"/>
              <w:left w:val="single" w:color="000000" w:sz="4" w:space="0"/>
              <w:bottom w:val="single" w:color="000000" w:sz="4" w:space="0"/>
              <w:right w:val="single" w:color="000000" w:sz="4" w:space="0"/>
            </w:tcBorders>
            <w:vAlign w:val="center"/>
          </w:tcPr>
          <w:p w14:paraId="39B90364">
            <w:pPr>
              <w:snapToGrid w:val="0"/>
              <w:jc w:val="center"/>
              <w:rPr>
                <w:rFonts w:eastAsia="仿宋"/>
                <w:color w:val="auto"/>
              </w:rPr>
            </w:pPr>
            <w:r>
              <w:rPr>
                <w:rFonts w:eastAsia="仿宋"/>
                <w:color w:val="auto"/>
              </w:rPr>
              <w:t>调查日期</w:t>
            </w:r>
          </w:p>
        </w:tc>
        <w:tc>
          <w:tcPr>
            <w:tcW w:w="2811" w:type="dxa"/>
            <w:gridSpan w:val="2"/>
            <w:tcBorders>
              <w:top w:val="single" w:color="000000" w:sz="4" w:space="0"/>
              <w:left w:val="single" w:color="000000" w:sz="4" w:space="0"/>
              <w:bottom w:val="single" w:color="000000" w:sz="4" w:space="0"/>
              <w:right w:val="single" w:color="000000" w:sz="4" w:space="0"/>
            </w:tcBorders>
            <w:vAlign w:val="center"/>
          </w:tcPr>
          <w:p w14:paraId="634125E5">
            <w:pPr>
              <w:snapToGrid w:val="0"/>
              <w:jc w:val="center"/>
              <w:rPr>
                <w:rFonts w:eastAsia="仿宋"/>
                <w:color w:val="auto"/>
              </w:rPr>
            </w:pPr>
            <w:r>
              <w:rPr>
                <w:rFonts w:eastAsia="仿宋"/>
                <w:color w:val="auto"/>
              </w:rPr>
              <w:t>202</w:t>
            </w:r>
            <w:r>
              <w:rPr>
                <w:rFonts w:hint="eastAsia" w:eastAsia="仿宋"/>
                <w:color w:val="auto"/>
              </w:rPr>
              <w:t>5</w:t>
            </w:r>
            <w:r>
              <w:rPr>
                <w:rFonts w:eastAsia="仿宋"/>
                <w:color w:val="auto"/>
              </w:rPr>
              <w:t>.</w:t>
            </w:r>
            <w:r>
              <w:rPr>
                <w:rFonts w:hint="eastAsia" w:eastAsia="仿宋"/>
                <w:color w:val="auto"/>
              </w:rPr>
              <w:t>8</w:t>
            </w:r>
            <w:r>
              <w:rPr>
                <w:rFonts w:eastAsia="仿宋"/>
                <w:color w:val="auto"/>
              </w:rPr>
              <w:t>.</w:t>
            </w:r>
            <w:r>
              <w:rPr>
                <w:rFonts w:hint="eastAsia" w:eastAsia="仿宋"/>
                <w:color w:val="auto"/>
              </w:rPr>
              <w:t>20</w:t>
            </w:r>
          </w:p>
        </w:tc>
      </w:tr>
      <w:tr w14:paraId="4E5E5238">
        <w:tblPrEx>
          <w:tblCellMar>
            <w:top w:w="0" w:type="dxa"/>
            <w:left w:w="0" w:type="dxa"/>
            <w:bottom w:w="0" w:type="dxa"/>
            <w:right w:w="0" w:type="dxa"/>
          </w:tblCellMar>
        </w:tblPrEx>
        <w:trPr>
          <w:trHeight w:val="340" w:hRule="atLeast"/>
          <w:jc w:val="center"/>
        </w:trPr>
        <w:tc>
          <w:tcPr>
            <w:tcW w:w="2010" w:type="dxa"/>
            <w:tcBorders>
              <w:top w:val="single" w:color="000000" w:sz="4" w:space="0"/>
              <w:left w:val="single" w:color="000000" w:sz="4" w:space="0"/>
              <w:bottom w:val="single" w:color="000000" w:sz="4" w:space="0"/>
              <w:right w:val="single" w:color="000000" w:sz="4" w:space="0"/>
            </w:tcBorders>
            <w:vAlign w:val="center"/>
          </w:tcPr>
          <w:p w14:paraId="308DF0BC">
            <w:pPr>
              <w:pStyle w:val="14"/>
              <w:kinsoku w:val="0"/>
              <w:overflowPunct w:val="0"/>
              <w:snapToGrid w:val="0"/>
              <w:jc w:val="center"/>
              <w:rPr>
                <w:rFonts w:eastAsia="仿宋"/>
                <w:color w:val="auto"/>
              </w:rPr>
            </w:pPr>
            <w:r>
              <w:rPr>
                <w:rFonts w:eastAsia="仿宋"/>
                <w:color w:val="auto"/>
              </w:rPr>
              <w:t>投资总概算</w:t>
            </w:r>
          </w:p>
          <w:p w14:paraId="5CC02793">
            <w:pPr>
              <w:pStyle w:val="14"/>
              <w:kinsoku w:val="0"/>
              <w:overflowPunct w:val="0"/>
              <w:snapToGrid w:val="0"/>
              <w:jc w:val="center"/>
              <w:rPr>
                <w:rFonts w:eastAsia="仿宋"/>
                <w:color w:val="auto"/>
              </w:rPr>
            </w:pPr>
            <w:r>
              <w:rPr>
                <w:rFonts w:eastAsia="仿宋"/>
                <w:color w:val="auto"/>
                <w:spacing w:val="-1"/>
              </w:rPr>
              <w:t>(万元)</w:t>
            </w:r>
          </w:p>
        </w:tc>
        <w:tc>
          <w:tcPr>
            <w:tcW w:w="1920" w:type="dxa"/>
            <w:tcBorders>
              <w:top w:val="single" w:color="000000" w:sz="4" w:space="0"/>
              <w:left w:val="single" w:color="000000" w:sz="4" w:space="0"/>
              <w:bottom w:val="single" w:color="000000" w:sz="4" w:space="0"/>
              <w:right w:val="single" w:color="000000" w:sz="4" w:space="0"/>
            </w:tcBorders>
            <w:vAlign w:val="center"/>
          </w:tcPr>
          <w:p w14:paraId="2E1C64A9">
            <w:pPr>
              <w:snapToGrid w:val="0"/>
              <w:jc w:val="center"/>
              <w:rPr>
                <w:rFonts w:eastAsia="仿宋"/>
                <w:color w:val="auto"/>
              </w:rPr>
            </w:pPr>
            <w:r>
              <w:rPr>
                <w:rFonts w:hint="eastAsia" w:eastAsia="仿宋"/>
                <w:color w:val="auto"/>
              </w:rPr>
              <w:t>5923.72</w:t>
            </w:r>
          </w:p>
        </w:tc>
        <w:tc>
          <w:tcPr>
            <w:tcW w:w="1310" w:type="dxa"/>
            <w:gridSpan w:val="2"/>
            <w:tcBorders>
              <w:top w:val="single" w:color="000000" w:sz="4" w:space="0"/>
              <w:left w:val="single" w:color="000000" w:sz="4" w:space="0"/>
              <w:bottom w:val="single" w:color="000000" w:sz="4" w:space="0"/>
              <w:right w:val="single" w:color="000000" w:sz="4" w:space="0"/>
            </w:tcBorders>
            <w:vAlign w:val="center"/>
          </w:tcPr>
          <w:p w14:paraId="5C526CFD">
            <w:pPr>
              <w:pStyle w:val="14"/>
              <w:kinsoku w:val="0"/>
              <w:overflowPunct w:val="0"/>
              <w:snapToGrid w:val="0"/>
              <w:jc w:val="center"/>
              <w:rPr>
                <w:rFonts w:eastAsia="仿宋"/>
                <w:color w:val="auto"/>
              </w:rPr>
            </w:pPr>
            <w:r>
              <w:rPr>
                <w:rFonts w:eastAsia="仿宋"/>
                <w:color w:val="auto"/>
              </w:rPr>
              <w:t>其中</w:t>
            </w:r>
            <w:r>
              <w:rPr>
                <w:rFonts w:hint="eastAsia" w:eastAsia="仿宋"/>
                <w:color w:val="auto"/>
              </w:rPr>
              <w:t>: 环</w:t>
            </w:r>
            <w:r>
              <w:rPr>
                <w:rFonts w:eastAsia="仿宋"/>
                <w:color w:val="auto"/>
              </w:rPr>
              <w:t>境保护</w:t>
            </w:r>
            <w:r>
              <w:rPr>
                <w:rFonts w:eastAsia="仿宋"/>
                <w:color w:val="auto"/>
                <w:spacing w:val="-1"/>
              </w:rPr>
              <w:t>投资(万元)</w:t>
            </w:r>
          </w:p>
        </w:tc>
        <w:tc>
          <w:tcPr>
            <w:tcW w:w="1472" w:type="dxa"/>
            <w:tcBorders>
              <w:top w:val="single" w:color="000000" w:sz="4" w:space="0"/>
              <w:left w:val="single" w:color="000000" w:sz="4" w:space="0"/>
              <w:bottom w:val="single" w:color="000000" w:sz="4" w:space="0"/>
              <w:right w:val="single" w:color="000000" w:sz="4" w:space="0"/>
            </w:tcBorders>
            <w:vAlign w:val="center"/>
          </w:tcPr>
          <w:p w14:paraId="42315EFD">
            <w:pPr>
              <w:snapToGrid w:val="0"/>
              <w:jc w:val="center"/>
              <w:rPr>
                <w:rFonts w:eastAsia="仿宋"/>
                <w:color w:val="auto"/>
              </w:rPr>
            </w:pPr>
            <w:r>
              <w:rPr>
                <w:rFonts w:hint="eastAsia" w:eastAsia="仿宋"/>
                <w:color w:val="auto"/>
              </w:rPr>
              <w:t>60</w:t>
            </w:r>
          </w:p>
        </w:tc>
        <w:tc>
          <w:tcPr>
            <w:tcW w:w="1221" w:type="dxa"/>
            <w:vMerge w:val="restart"/>
            <w:tcBorders>
              <w:top w:val="single" w:color="000000" w:sz="4" w:space="0"/>
              <w:left w:val="single" w:color="000000" w:sz="4" w:space="0"/>
              <w:bottom w:val="single" w:color="000000" w:sz="4" w:space="0"/>
              <w:right w:val="single" w:color="000000" w:sz="4" w:space="0"/>
            </w:tcBorders>
            <w:vAlign w:val="center"/>
          </w:tcPr>
          <w:p w14:paraId="6205F7BD">
            <w:pPr>
              <w:pStyle w:val="14"/>
              <w:kinsoku w:val="0"/>
              <w:overflowPunct w:val="0"/>
              <w:snapToGrid w:val="0"/>
              <w:jc w:val="center"/>
              <w:rPr>
                <w:rFonts w:eastAsia="仿宋"/>
                <w:color w:val="auto"/>
              </w:rPr>
            </w:pPr>
            <w:r>
              <w:rPr>
                <w:rFonts w:eastAsia="仿宋"/>
                <w:color w:val="auto"/>
                <w:spacing w:val="25"/>
              </w:rPr>
              <w:t>实际环境</w:t>
            </w:r>
            <w:r>
              <w:rPr>
                <w:rFonts w:eastAsia="仿宋"/>
                <w:color w:val="auto"/>
              </w:rPr>
              <w:t>保</w:t>
            </w:r>
            <w:r>
              <w:rPr>
                <w:rFonts w:eastAsia="仿宋"/>
                <w:color w:val="auto"/>
                <w:spacing w:val="25"/>
              </w:rPr>
              <w:t>护投资占</w:t>
            </w:r>
            <w:r>
              <w:rPr>
                <w:rFonts w:eastAsia="仿宋"/>
                <w:color w:val="auto"/>
              </w:rPr>
              <w:t>总投资比例</w:t>
            </w:r>
          </w:p>
        </w:tc>
        <w:tc>
          <w:tcPr>
            <w:tcW w:w="1590" w:type="dxa"/>
            <w:tcBorders>
              <w:top w:val="single" w:color="000000" w:sz="4" w:space="0"/>
              <w:left w:val="single" w:color="000000" w:sz="4" w:space="0"/>
              <w:bottom w:val="single" w:color="000000" w:sz="4" w:space="0"/>
              <w:right w:val="single" w:color="000000" w:sz="4" w:space="0"/>
            </w:tcBorders>
            <w:vAlign w:val="center"/>
          </w:tcPr>
          <w:p w14:paraId="7A085FFF">
            <w:pPr>
              <w:snapToGrid w:val="0"/>
              <w:jc w:val="center"/>
              <w:rPr>
                <w:rFonts w:eastAsia="仿宋"/>
                <w:color w:val="auto"/>
              </w:rPr>
            </w:pPr>
            <w:r>
              <w:rPr>
                <w:rFonts w:hint="eastAsia" w:eastAsia="仿宋"/>
                <w:color w:val="auto"/>
              </w:rPr>
              <w:t>1.01</w:t>
            </w:r>
            <w:r>
              <w:rPr>
                <w:rFonts w:eastAsia="仿宋"/>
                <w:color w:val="auto"/>
              </w:rPr>
              <w:t>%</w:t>
            </w:r>
          </w:p>
        </w:tc>
      </w:tr>
      <w:tr w14:paraId="3BC9F343">
        <w:tblPrEx>
          <w:tblCellMar>
            <w:top w:w="0" w:type="dxa"/>
            <w:left w:w="0" w:type="dxa"/>
            <w:bottom w:w="0" w:type="dxa"/>
            <w:right w:w="0" w:type="dxa"/>
          </w:tblCellMar>
        </w:tblPrEx>
        <w:trPr>
          <w:trHeight w:val="340" w:hRule="atLeast"/>
          <w:jc w:val="center"/>
        </w:trPr>
        <w:tc>
          <w:tcPr>
            <w:tcW w:w="2010" w:type="dxa"/>
            <w:tcBorders>
              <w:top w:val="single" w:color="000000" w:sz="4" w:space="0"/>
              <w:left w:val="single" w:color="000000" w:sz="4" w:space="0"/>
              <w:bottom w:val="single" w:color="000000" w:sz="4" w:space="0"/>
              <w:right w:val="single" w:color="000000" w:sz="4" w:space="0"/>
            </w:tcBorders>
            <w:vAlign w:val="center"/>
          </w:tcPr>
          <w:p w14:paraId="38403880">
            <w:pPr>
              <w:pStyle w:val="14"/>
              <w:kinsoku w:val="0"/>
              <w:overflowPunct w:val="0"/>
              <w:snapToGrid w:val="0"/>
              <w:jc w:val="center"/>
              <w:rPr>
                <w:rFonts w:eastAsia="仿宋"/>
                <w:color w:val="auto"/>
                <w:highlight w:val="none"/>
              </w:rPr>
            </w:pPr>
            <w:r>
              <w:rPr>
                <w:rFonts w:eastAsia="仿宋"/>
                <w:color w:val="auto"/>
                <w:highlight w:val="none"/>
              </w:rPr>
              <w:t>实际总投资</w:t>
            </w:r>
          </w:p>
          <w:p w14:paraId="5C4208E2">
            <w:pPr>
              <w:pStyle w:val="14"/>
              <w:kinsoku w:val="0"/>
              <w:overflowPunct w:val="0"/>
              <w:snapToGrid w:val="0"/>
              <w:jc w:val="center"/>
              <w:rPr>
                <w:rFonts w:eastAsia="仿宋"/>
                <w:color w:val="auto"/>
                <w:highlight w:val="none"/>
              </w:rPr>
            </w:pPr>
            <w:r>
              <w:rPr>
                <w:rFonts w:eastAsia="仿宋"/>
                <w:color w:val="auto"/>
                <w:spacing w:val="-1"/>
                <w:highlight w:val="none"/>
              </w:rPr>
              <w:t>(万元)</w:t>
            </w:r>
          </w:p>
        </w:tc>
        <w:tc>
          <w:tcPr>
            <w:tcW w:w="1920" w:type="dxa"/>
            <w:tcBorders>
              <w:top w:val="single" w:color="000000" w:sz="4" w:space="0"/>
              <w:left w:val="single" w:color="000000" w:sz="4" w:space="0"/>
              <w:bottom w:val="single" w:color="000000" w:sz="4" w:space="0"/>
              <w:right w:val="single" w:color="000000" w:sz="4" w:space="0"/>
            </w:tcBorders>
            <w:vAlign w:val="center"/>
          </w:tcPr>
          <w:p w14:paraId="3A638D72">
            <w:pPr>
              <w:snapToGrid w:val="0"/>
              <w:jc w:val="center"/>
              <w:rPr>
                <w:rFonts w:eastAsia="仿宋"/>
                <w:color w:val="auto"/>
                <w:highlight w:val="none"/>
              </w:rPr>
            </w:pPr>
            <w:r>
              <w:rPr>
                <w:rFonts w:hint="eastAsia" w:eastAsia="仿宋"/>
                <w:color w:val="auto"/>
                <w:highlight w:val="none"/>
              </w:rPr>
              <w:t>5923.72</w:t>
            </w:r>
          </w:p>
        </w:tc>
        <w:tc>
          <w:tcPr>
            <w:tcW w:w="1310" w:type="dxa"/>
            <w:gridSpan w:val="2"/>
            <w:tcBorders>
              <w:top w:val="single" w:color="000000" w:sz="4" w:space="0"/>
              <w:left w:val="single" w:color="000000" w:sz="4" w:space="0"/>
              <w:bottom w:val="single" w:color="000000" w:sz="4" w:space="0"/>
              <w:right w:val="single" w:color="000000" w:sz="4" w:space="0"/>
            </w:tcBorders>
            <w:vAlign w:val="center"/>
          </w:tcPr>
          <w:p w14:paraId="28AC8AB3">
            <w:pPr>
              <w:pStyle w:val="14"/>
              <w:kinsoku w:val="0"/>
              <w:overflowPunct w:val="0"/>
              <w:snapToGrid w:val="0"/>
              <w:jc w:val="center"/>
              <w:rPr>
                <w:rFonts w:eastAsia="仿宋"/>
                <w:color w:val="auto"/>
                <w:highlight w:val="none"/>
              </w:rPr>
            </w:pPr>
            <w:r>
              <w:rPr>
                <w:rFonts w:eastAsia="仿宋"/>
                <w:color w:val="auto"/>
                <w:highlight w:val="none"/>
              </w:rPr>
              <w:t>其中</w:t>
            </w:r>
            <w:r>
              <w:rPr>
                <w:rFonts w:hint="eastAsia" w:eastAsia="仿宋"/>
                <w:color w:val="auto"/>
                <w:highlight w:val="none"/>
              </w:rPr>
              <w:t>: 环</w:t>
            </w:r>
            <w:r>
              <w:rPr>
                <w:rFonts w:eastAsia="仿宋"/>
                <w:color w:val="auto"/>
                <w:highlight w:val="none"/>
              </w:rPr>
              <w:t>境保护</w:t>
            </w:r>
            <w:r>
              <w:rPr>
                <w:rFonts w:eastAsia="仿宋"/>
                <w:color w:val="auto"/>
                <w:spacing w:val="-1"/>
                <w:highlight w:val="none"/>
              </w:rPr>
              <w:t>投资(万元)</w:t>
            </w:r>
          </w:p>
        </w:tc>
        <w:tc>
          <w:tcPr>
            <w:tcW w:w="1472" w:type="dxa"/>
            <w:tcBorders>
              <w:top w:val="single" w:color="000000" w:sz="4" w:space="0"/>
              <w:left w:val="single" w:color="000000" w:sz="4" w:space="0"/>
              <w:bottom w:val="single" w:color="000000" w:sz="4" w:space="0"/>
              <w:right w:val="single" w:color="000000" w:sz="4" w:space="0"/>
            </w:tcBorders>
            <w:vAlign w:val="center"/>
          </w:tcPr>
          <w:p w14:paraId="4AEE25B4">
            <w:pPr>
              <w:snapToGrid w:val="0"/>
              <w:jc w:val="center"/>
              <w:rPr>
                <w:rFonts w:eastAsia="仿宋"/>
                <w:color w:val="auto"/>
                <w:highlight w:val="none"/>
              </w:rPr>
            </w:pPr>
            <w:r>
              <w:rPr>
                <w:rFonts w:hint="eastAsia" w:eastAsia="仿宋"/>
                <w:color w:val="auto"/>
                <w:highlight w:val="none"/>
              </w:rPr>
              <w:t>60</w:t>
            </w:r>
          </w:p>
        </w:tc>
        <w:tc>
          <w:tcPr>
            <w:tcW w:w="1221" w:type="dxa"/>
            <w:vMerge w:val="continue"/>
            <w:tcBorders>
              <w:top w:val="single" w:color="000000" w:sz="4" w:space="0"/>
              <w:left w:val="single" w:color="000000" w:sz="4" w:space="0"/>
              <w:bottom w:val="single" w:color="000000" w:sz="4" w:space="0"/>
              <w:right w:val="single" w:color="000000" w:sz="4" w:space="0"/>
            </w:tcBorders>
            <w:vAlign w:val="center"/>
          </w:tcPr>
          <w:p w14:paraId="3AF18B38">
            <w:pPr>
              <w:snapToGrid w:val="0"/>
              <w:jc w:val="center"/>
              <w:rPr>
                <w:rFonts w:eastAsia="仿宋"/>
                <w:color w:val="auto"/>
                <w:highlight w:val="none"/>
              </w:rPr>
            </w:pPr>
          </w:p>
        </w:tc>
        <w:tc>
          <w:tcPr>
            <w:tcW w:w="1590" w:type="dxa"/>
            <w:tcBorders>
              <w:top w:val="single" w:color="000000" w:sz="4" w:space="0"/>
              <w:left w:val="single" w:color="000000" w:sz="4" w:space="0"/>
              <w:bottom w:val="single" w:color="000000" w:sz="4" w:space="0"/>
              <w:right w:val="single" w:color="000000" w:sz="4" w:space="0"/>
            </w:tcBorders>
            <w:vAlign w:val="center"/>
          </w:tcPr>
          <w:p w14:paraId="7850053A">
            <w:pPr>
              <w:snapToGrid w:val="0"/>
              <w:jc w:val="center"/>
              <w:rPr>
                <w:rFonts w:eastAsia="仿宋"/>
                <w:color w:val="auto"/>
                <w:highlight w:val="none"/>
              </w:rPr>
            </w:pPr>
            <w:r>
              <w:rPr>
                <w:rFonts w:hint="eastAsia" w:eastAsia="仿宋"/>
                <w:color w:val="auto"/>
                <w:highlight w:val="none"/>
              </w:rPr>
              <w:t>1.01</w:t>
            </w:r>
            <w:r>
              <w:rPr>
                <w:rFonts w:eastAsia="仿宋"/>
                <w:color w:val="auto"/>
                <w:highlight w:val="none"/>
              </w:rPr>
              <w:t>%</w:t>
            </w:r>
          </w:p>
        </w:tc>
      </w:tr>
      <w:tr w14:paraId="215A981B">
        <w:tblPrEx>
          <w:tblCellMar>
            <w:top w:w="0" w:type="dxa"/>
            <w:left w:w="0" w:type="dxa"/>
            <w:bottom w:w="0" w:type="dxa"/>
            <w:right w:w="0" w:type="dxa"/>
          </w:tblCellMar>
        </w:tblPrEx>
        <w:trPr>
          <w:trHeight w:val="663" w:hRule="atLeast"/>
          <w:jc w:val="center"/>
        </w:trPr>
        <w:tc>
          <w:tcPr>
            <w:tcW w:w="2010" w:type="dxa"/>
            <w:tcBorders>
              <w:top w:val="single" w:color="000000" w:sz="4" w:space="0"/>
              <w:left w:val="single" w:color="000000" w:sz="4" w:space="0"/>
              <w:bottom w:val="single" w:color="000000" w:sz="4" w:space="0"/>
              <w:right w:val="single" w:color="000000" w:sz="4" w:space="0"/>
            </w:tcBorders>
            <w:vAlign w:val="center"/>
          </w:tcPr>
          <w:p w14:paraId="5FA665DE">
            <w:pPr>
              <w:pStyle w:val="14"/>
              <w:kinsoku w:val="0"/>
              <w:overflowPunct w:val="0"/>
              <w:snapToGrid w:val="0"/>
              <w:jc w:val="center"/>
              <w:rPr>
                <w:rFonts w:eastAsia="仿宋"/>
                <w:color w:val="auto"/>
                <w:spacing w:val="-1"/>
                <w:highlight w:val="none"/>
              </w:rPr>
            </w:pPr>
            <w:r>
              <w:rPr>
                <w:rFonts w:hint="eastAsia" w:eastAsia="仿宋"/>
                <w:color w:val="auto"/>
                <w:spacing w:val="-1"/>
                <w:highlight w:val="none"/>
              </w:rPr>
              <w:t>设计生产能力（交通量）</w:t>
            </w:r>
          </w:p>
        </w:tc>
        <w:tc>
          <w:tcPr>
            <w:tcW w:w="1920" w:type="dxa"/>
            <w:tcBorders>
              <w:top w:val="single" w:color="000000" w:sz="4" w:space="0"/>
              <w:left w:val="single" w:color="000000" w:sz="4" w:space="0"/>
              <w:bottom w:val="single" w:color="000000" w:sz="4" w:space="0"/>
              <w:right w:val="single" w:color="000000" w:sz="4" w:space="0"/>
            </w:tcBorders>
            <w:vAlign w:val="center"/>
          </w:tcPr>
          <w:p w14:paraId="795395D2">
            <w:pPr>
              <w:pStyle w:val="14"/>
              <w:kinsoku w:val="0"/>
              <w:overflowPunct w:val="0"/>
              <w:snapToGrid w:val="0"/>
              <w:jc w:val="center"/>
              <w:rPr>
                <w:rFonts w:hint="default" w:eastAsia="仿宋"/>
                <w:color w:val="auto"/>
                <w:highlight w:val="none"/>
                <w:lang w:val="en-US" w:eastAsia="zh-CN"/>
              </w:rPr>
            </w:pPr>
            <w:r>
              <w:rPr>
                <w:rFonts w:hint="eastAsia" w:eastAsia="仿宋"/>
                <w:color w:val="auto"/>
                <w:highlight w:val="none"/>
                <w:lang w:val="en-US" w:eastAsia="zh-CN"/>
              </w:rPr>
              <w:t>4</w:t>
            </w:r>
            <w:r>
              <w:rPr>
                <w:rFonts w:hint="eastAsia" w:eastAsia="仿宋"/>
                <w:color w:val="auto"/>
                <w:highlight w:val="none"/>
              </w:rPr>
              <w:t>根管线</w:t>
            </w:r>
            <w:r>
              <w:rPr>
                <w:rFonts w:hint="eastAsia" w:eastAsia="仿宋"/>
                <w:color w:val="auto"/>
                <w:highlight w:val="none"/>
                <w:lang w:eastAsia="zh-CN"/>
              </w:rPr>
              <w:t>，</w:t>
            </w:r>
            <w:r>
              <w:rPr>
                <w:rFonts w:hint="eastAsia" w:eastAsia="仿宋"/>
                <w:color w:val="auto"/>
                <w:highlight w:val="none"/>
                <w:lang w:val="en-US" w:eastAsia="zh-CN"/>
              </w:rPr>
              <w:t>总长20780m</w:t>
            </w:r>
          </w:p>
        </w:tc>
        <w:tc>
          <w:tcPr>
            <w:tcW w:w="2782" w:type="dxa"/>
            <w:gridSpan w:val="3"/>
            <w:tcBorders>
              <w:top w:val="single" w:color="000000" w:sz="4" w:space="0"/>
              <w:left w:val="single" w:color="000000" w:sz="4" w:space="0"/>
              <w:bottom w:val="single" w:color="000000" w:sz="4" w:space="0"/>
              <w:right w:val="single" w:color="000000" w:sz="4" w:space="0"/>
            </w:tcBorders>
            <w:vAlign w:val="center"/>
          </w:tcPr>
          <w:p w14:paraId="3D150734">
            <w:pPr>
              <w:snapToGrid w:val="0"/>
              <w:jc w:val="center"/>
              <w:rPr>
                <w:rFonts w:eastAsia="仿宋"/>
                <w:color w:val="auto"/>
                <w:highlight w:val="none"/>
              </w:rPr>
            </w:pPr>
            <w:r>
              <w:rPr>
                <w:rFonts w:hint="eastAsia" w:eastAsia="仿宋"/>
                <w:color w:val="auto"/>
                <w:highlight w:val="none"/>
              </w:rPr>
              <w:t>建设项目开工日期</w:t>
            </w:r>
          </w:p>
        </w:tc>
        <w:tc>
          <w:tcPr>
            <w:tcW w:w="2811" w:type="dxa"/>
            <w:gridSpan w:val="2"/>
            <w:tcBorders>
              <w:top w:val="single" w:color="000000" w:sz="4" w:space="0"/>
              <w:left w:val="single" w:color="000000" w:sz="4" w:space="0"/>
              <w:bottom w:val="single" w:color="000000" w:sz="4" w:space="0"/>
              <w:right w:val="single" w:color="000000" w:sz="4" w:space="0"/>
            </w:tcBorders>
            <w:vAlign w:val="center"/>
          </w:tcPr>
          <w:p w14:paraId="07089E27">
            <w:pPr>
              <w:snapToGrid w:val="0"/>
              <w:jc w:val="center"/>
              <w:rPr>
                <w:rFonts w:eastAsia="仿宋"/>
                <w:color w:val="auto"/>
                <w:highlight w:val="none"/>
              </w:rPr>
            </w:pPr>
            <w:r>
              <w:rPr>
                <w:rFonts w:hint="eastAsia" w:eastAsia="仿宋"/>
                <w:color w:val="auto"/>
                <w:highlight w:val="none"/>
              </w:rPr>
              <w:t>202</w:t>
            </w:r>
            <w:r>
              <w:rPr>
                <w:rFonts w:hint="eastAsia" w:eastAsia="仿宋"/>
                <w:color w:val="auto"/>
                <w:highlight w:val="none"/>
                <w:lang w:val="en-US" w:eastAsia="zh-CN"/>
              </w:rPr>
              <w:t>5</w:t>
            </w:r>
            <w:r>
              <w:rPr>
                <w:rFonts w:hint="eastAsia" w:eastAsia="仿宋"/>
                <w:color w:val="auto"/>
                <w:highlight w:val="none"/>
              </w:rPr>
              <w:t>年</w:t>
            </w:r>
            <w:r>
              <w:rPr>
                <w:rFonts w:hint="eastAsia" w:eastAsia="仿宋"/>
                <w:color w:val="auto"/>
                <w:highlight w:val="none"/>
                <w:lang w:val="en-US" w:eastAsia="zh-CN"/>
              </w:rPr>
              <w:t>5</w:t>
            </w:r>
            <w:r>
              <w:rPr>
                <w:rFonts w:hint="eastAsia" w:eastAsia="仿宋"/>
                <w:color w:val="auto"/>
                <w:highlight w:val="none"/>
              </w:rPr>
              <w:t>月</w:t>
            </w:r>
          </w:p>
        </w:tc>
      </w:tr>
      <w:tr w14:paraId="0B3AF8F5">
        <w:tblPrEx>
          <w:tblCellMar>
            <w:top w:w="0" w:type="dxa"/>
            <w:left w:w="0" w:type="dxa"/>
            <w:bottom w:w="0" w:type="dxa"/>
            <w:right w:w="0" w:type="dxa"/>
          </w:tblCellMar>
        </w:tblPrEx>
        <w:trPr>
          <w:trHeight w:val="340" w:hRule="atLeast"/>
          <w:jc w:val="center"/>
        </w:trPr>
        <w:tc>
          <w:tcPr>
            <w:tcW w:w="2010" w:type="dxa"/>
            <w:tcBorders>
              <w:top w:val="single" w:color="000000" w:sz="4" w:space="0"/>
              <w:left w:val="single" w:color="000000" w:sz="4" w:space="0"/>
              <w:bottom w:val="single" w:color="000000" w:sz="4" w:space="0"/>
              <w:right w:val="single" w:color="000000" w:sz="4" w:space="0"/>
            </w:tcBorders>
            <w:vAlign w:val="center"/>
          </w:tcPr>
          <w:p w14:paraId="5A79EB8A">
            <w:pPr>
              <w:pStyle w:val="14"/>
              <w:kinsoku w:val="0"/>
              <w:overflowPunct w:val="0"/>
              <w:snapToGrid w:val="0"/>
              <w:jc w:val="center"/>
              <w:rPr>
                <w:rFonts w:eastAsia="仿宋"/>
                <w:color w:val="auto"/>
                <w:spacing w:val="-1"/>
                <w:highlight w:val="none"/>
              </w:rPr>
            </w:pPr>
            <w:r>
              <w:rPr>
                <w:rFonts w:hint="eastAsia" w:eastAsia="仿宋"/>
                <w:color w:val="auto"/>
                <w:spacing w:val="-1"/>
                <w:highlight w:val="none"/>
                <w:lang w:val="en-US" w:eastAsia="zh-CN"/>
              </w:rPr>
              <w:t>实际</w:t>
            </w:r>
            <w:r>
              <w:rPr>
                <w:rFonts w:hint="eastAsia" w:eastAsia="仿宋"/>
                <w:color w:val="auto"/>
                <w:spacing w:val="-1"/>
                <w:highlight w:val="none"/>
              </w:rPr>
              <w:t>生产能力（交通量）</w:t>
            </w:r>
          </w:p>
        </w:tc>
        <w:tc>
          <w:tcPr>
            <w:tcW w:w="1920" w:type="dxa"/>
            <w:tcBorders>
              <w:top w:val="single" w:color="000000" w:sz="4" w:space="0"/>
              <w:left w:val="single" w:color="000000" w:sz="4" w:space="0"/>
              <w:bottom w:val="single" w:color="000000" w:sz="4" w:space="0"/>
              <w:right w:val="single" w:color="000000" w:sz="4" w:space="0"/>
            </w:tcBorders>
            <w:vAlign w:val="center"/>
          </w:tcPr>
          <w:p w14:paraId="79423079">
            <w:pPr>
              <w:pStyle w:val="14"/>
              <w:kinsoku w:val="0"/>
              <w:overflowPunct w:val="0"/>
              <w:snapToGrid w:val="0"/>
              <w:jc w:val="center"/>
              <w:rPr>
                <w:rFonts w:eastAsia="仿宋"/>
                <w:color w:val="auto"/>
                <w:highlight w:val="none"/>
              </w:rPr>
            </w:pPr>
            <w:r>
              <w:rPr>
                <w:rFonts w:hint="eastAsia" w:eastAsia="仿宋"/>
                <w:color w:val="auto"/>
                <w:highlight w:val="none"/>
                <w:lang w:val="en-US" w:eastAsia="zh-CN"/>
              </w:rPr>
              <w:t>3</w:t>
            </w:r>
            <w:r>
              <w:rPr>
                <w:rFonts w:hint="eastAsia" w:eastAsia="仿宋"/>
                <w:color w:val="auto"/>
                <w:highlight w:val="none"/>
              </w:rPr>
              <w:t>根管线</w:t>
            </w:r>
            <w:r>
              <w:rPr>
                <w:rFonts w:hint="eastAsia" w:eastAsia="仿宋"/>
                <w:color w:val="auto"/>
                <w:highlight w:val="none"/>
                <w:lang w:eastAsia="zh-CN"/>
              </w:rPr>
              <w:t>，</w:t>
            </w:r>
            <w:r>
              <w:rPr>
                <w:rFonts w:hint="eastAsia" w:eastAsia="仿宋"/>
                <w:color w:val="auto"/>
                <w:highlight w:val="none"/>
                <w:lang w:val="en-US" w:eastAsia="zh-CN"/>
              </w:rPr>
              <w:t>总长8380m</w:t>
            </w:r>
          </w:p>
        </w:tc>
        <w:tc>
          <w:tcPr>
            <w:tcW w:w="2782" w:type="dxa"/>
            <w:gridSpan w:val="3"/>
            <w:tcBorders>
              <w:top w:val="single" w:color="000000" w:sz="4" w:space="0"/>
              <w:left w:val="single" w:color="000000" w:sz="4" w:space="0"/>
              <w:bottom w:val="single" w:color="000000" w:sz="4" w:space="0"/>
              <w:right w:val="single" w:color="000000" w:sz="4" w:space="0"/>
            </w:tcBorders>
            <w:vAlign w:val="center"/>
          </w:tcPr>
          <w:p w14:paraId="18B50AC4">
            <w:pPr>
              <w:snapToGrid w:val="0"/>
              <w:jc w:val="center"/>
              <w:rPr>
                <w:rFonts w:eastAsia="仿宋"/>
                <w:color w:val="auto"/>
                <w:highlight w:val="none"/>
              </w:rPr>
            </w:pPr>
            <w:r>
              <w:rPr>
                <w:rFonts w:hint="eastAsia" w:eastAsia="仿宋"/>
                <w:color w:val="auto"/>
                <w:highlight w:val="none"/>
              </w:rPr>
              <w:t>投入试运行日期</w:t>
            </w:r>
          </w:p>
        </w:tc>
        <w:tc>
          <w:tcPr>
            <w:tcW w:w="2811" w:type="dxa"/>
            <w:gridSpan w:val="2"/>
            <w:tcBorders>
              <w:top w:val="single" w:color="000000" w:sz="4" w:space="0"/>
              <w:left w:val="single" w:color="000000" w:sz="4" w:space="0"/>
              <w:bottom w:val="single" w:color="000000" w:sz="4" w:space="0"/>
              <w:right w:val="single" w:color="000000" w:sz="4" w:space="0"/>
            </w:tcBorders>
            <w:vAlign w:val="center"/>
          </w:tcPr>
          <w:p w14:paraId="26A24761">
            <w:pPr>
              <w:snapToGrid w:val="0"/>
              <w:jc w:val="center"/>
              <w:rPr>
                <w:rFonts w:eastAsia="仿宋"/>
                <w:color w:val="auto"/>
                <w:highlight w:val="none"/>
              </w:rPr>
            </w:pPr>
            <w:r>
              <w:rPr>
                <w:rFonts w:hint="eastAsia" w:eastAsia="仿宋"/>
                <w:color w:val="auto"/>
                <w:highlight w:val="none"/>
              </w:rPr>
              <w:t>2025年</w:t>
            </w:r>
            <w:r>
              <w:rPr>
                <w:rFonts w:hint="eastAsia" w:eastAsia="仿宋"/>
                <w:color w:val="auto"/>
                <w:highlight w:val="none"/>
                <w:lang w:val="en-US" w:eastAsia="zh-CN"/>
              </w:rPr>
              <w:t>9</w:t>
            </w:r>
            <w:r>
              <w:rPr>
                <w:rFonts w:hint="eastAsia" w:eastAsia="仿宋"/>
                <w:color w:val="auto"/>
                <w:highlight w:val="none"/>
              </w:rPr>
              <w:t>月</w:t>
            </w:r>
          </w:p>
        </w:tc>
      </w:tr>
      <w:tr w14:paraId="7E5BCAE8">
        <w:tblPrEx>
          <w:tblCellMar>
            <w:top w:w="0" w:type="dxa"/>
            <w:left w:w="0" w:type="dxa"/>
            <w:bottom w:w="0" w:type="dxa"/>
            <w:right w:w="0" w:type="dxa"/>
          </w:tblCellMar>
        </w:tblPrEx>
        <w:trPr>
          <w:trHeight w:val="340" w:hRule="atLeast"/>
          <w:jc w:val="center"/>
        </w:trPr>
        <w:tc>
          <w:tcPr>
            <w:tcW w:w="2010" w:type="dxa"/>
            <w:tcBorders>
              <w:top w:val="single" w:color="000000" w:sz="4" w:space="0"/>
              <w:left w:val="single" w:color="000000" w:sz="4" w:space="0"/>
              <w:bottom w:val="single" w:color="000000" w:sz="4" w:space="0"/>
              <w:right w:val="single" w:color="000000" w:sz="4" w:space="0"/>
            </w:tcBorders>
            <w:vAlign w:val="center"/>
          </w:tcPr>
          <w:p w14:paraId="436ADFE3">
            <w:pPr>
              <w:pStyle w:val="14"/>
              <w:kinsoku w:val="0"/>
              <w:overflowPunct w:val="0"/>
              <w:snapToGrid w:val="0"/>
              <w:jc w:val="center"/>
              <w:rPr>
                <w:rFonts w:eastAsia="仿宋"/>
                <w:color w:val="auto"/>
                <w:spacing w:val="-1"/>
                <w:highlight w:val="none"/>
              </w:rPr>
            </w:pPr>
            <w:r>
              <w:rPr>
                <w:rFonts w:hint="eastAsia" w:eastAsia="仿宋"/>
                <w:color w:val="auto"/>
                <w:spacing w:val="-1"/>
                <w:highlight w:val="none"/>
              </w:rPr>
              <w:t>项目建设过程简述</w:t>
            </w:r>
          </w:p>
        </w:tc>
        <w:tc>
          <w:tcPr>
            <w:tcW w:w="7513" w:type="dxa"/>
            <w:gridSpan w:val="6"/>
            <w:tcBorders>
              <w:top w:val="single" w:color="000000" w:sz="4" w:space="0"/>
              <w:left w:val="single" w:color="000000" w:sz="4" w:space="0"/>
              <w:bottom w:val="single" w:color="000000" w:sz="4" w:space="0"/>
              <w:right w:val="single" w:color="000000" w:sz="4" w:space="0"/>
            </w:tcBorders>
            <w:vAlign w:val="center"/>
          </w:tcPr>
          <w:p w14:paraId="05BC4EDF">
            <w:pPr>
              <w:snapToGrid w:val="0"/>
              <w:ind w:firstLine="480" w:firstLineChars="200"/>
              <w:jc w:val="both"/>
              <w:rPr>
                <w:rFonts w:eastAsia="仿宋"/>
                <w:color w:val="auto"/>
                <w:highlight w:val="none"/>
              </w:rPr>
            </w:pPr>
            <w:r>
              <w:rPr>
                <w:rFonts w:eastAsia="仿宋"/>
                <w:color w:val="auto"/>
                <w:highlight w:val="none"/>
              </w:rPr>
              <w:t>连云港荣泰化工仓储有限公司技改优化提升项目</w:t>
            </w:r>
            <w:r>
              <w:rPr>
                <w:rFonts w:hint="eastAsia" w:eastAsia="仿宋"/>
                <w:color w:val="auto"/>
                <w:highlight w:val="none"/>
              </w:rPr>
              <w:t>于2024年5月取得备案证，备案号：示范区经备[2024]34号；2024年7月，</w:t>
            </w:r>
            <w:r>
              <w:rPr>
                <w:rFonts w:eastAsia="仿宋"/>
                <w:color w:val="auto"/>
                <w:highlight w:val="none"/>
              </w:rPr>
              <w:t>连云港荣泰化工仓储有限公司技改优化提升项目</w:t>
            </w:r>
            <w:r>
              <w:rPr>
                <w:rFonts w:hint="eastAsia" w:eastAsia="仿宋"/>
                <w:color w:val="auto"/>
                <w:highlight w:val="none"/>
              </w:rPr>
              <w:t>编制环境影响报告表并于2024年8月取得批复（示范区环审[2024]</w:t>
            </w:r>
            <w:r>
              <w:rPr>
                <w:rFonts w:hint="eastAsia" w:eastAsia="仿宋"/>
                <w:color w:val="auto"/>
                <w:highlight w:val="none"/>
                <w:lang w:val="en-US" w:eastAsia="zh-CN"/>
              </w:rPr>
              <w:t>27</w:t>
            </w:r>
            <w:r>
              <w:rPr>
                <w:rFonts w:hint="eastAsia" w:eastAsia="仿宋"/>
                <w:color w:val="auto"/>
                <w:highlight w:val="none"/>
              </w:rPr>
              <w:t>号）。公司于202</w:t>
            </w:r>
            <w:r>
              <w:rPr>
                <w:rFonts w:hint="eastAsia" w:eastAsia="仿宋"/>
                <w:color w:val="auto"/>
                <w:highlight w:val="none"/>
                <w:lang w:val="en-US" w:eastAsia="zh-CN"/>
              </w:rPr>
              <w:t>5</w:t>
            </w:r>
            <w:r>
              <w:rPr>
                <w:rFonts w:hint="eastAsia" w:eastAsia="仿宋"/>
                <w:color w:val="auto"/>
                <w:highlight w:val="none"/>
              </w:rPr>
              <w:t>年</w:t>
            </w:r>
            <w:r>
              <w:rPr>
                <w:rFonts w:hint="eastAsia" w:eastAsia="仿宋"/>
                <w:color w:val="auto"/>
                <w:highlight w:val="none"/>
                <w:lang w:val="en-US" w:eastAsia="zh-CN"/>
              </w:rPr>
              <w:t>5</w:t>
            </w:r>
            <w:r>
              <w:rPr>
                <w:rFonts w:hint="eastAsia" w:eastAsia="仿宋"/>
                <w:color w:val="auto"/>
                <w:highlight w:val="none"/>
              </w:rPr>
              <w:t>月开工建设，2025年</w:t>
            </w:r>
            <w:r>
              <w:rPr>
                <w:rFonts w:hint="eastAsia" w:eastAsia="仿宋"/>
                <w:color w:val="auto"/>
                <w:highlight w:val="none"/>
                <w:lang w:val="en-US" w:eastAsia="zh-CN"/>
              </w:rPr>
              <w:t>8</w:t>
            </w:r>
            <w:r>
              <w:rPr>
                <w:rFonts w:hint="eastAsia" w:eastAsia="仿宋"/>
                <w:color w:val="auto"/>
                <w:highlight w:val="none"/>
              </w:rPr>
              <w:t>月建设完成。2025年</w:t>
            </w:r>
            <w:r>
              <w:rPr>
                <w:rFonts w:hint="eastAsia" w:eastAsia="仿宋"/>
                <w:color w:val="auto"/>
                <w:highlight w:val="none"/>
                <w:lang w:val="en-US" w:eastAsia="zh-CN"/>
              </w:rPr>
              <w:t>9</w:t>
            </w:r>
            <w:r>
              <w:rPr>
                <w:rFonts w:hint="eastAsia" w:eastAsia="仿宋"/>
                <w:color w:val="auto"/>
                <w:highlight w:val="none"/>
              </w:rPr>
              <w:t>月，管道开始运输物料，进行试生产。</w:t>
            </w:r>
          </w:p>
        </w:tc>
      </w:tr>
      <w:tr w14:paraId="046FF40D">
        <w:tblPrEx>
          <w:tblCellMar>
            <w:top w:w="0" w:type="dxa"/>
            <w:left w:w="0" w:type="dxa"/>
            <w:bottom w:w="0" w:type="dxa"/>
            <w:right w:w="0" w:type="dxa"/>
          </w:tblCellMar>
        </w:tblPrEx>
        <w:trPr>
          <w:trHeight w:val="340" w:hRule="atLeast"/>
          <w:jc w:val="center"/>
        </w:trPr>
        <w:tc>
          <w:tcPr>
            <w:tcW w:w="2010" w:type="dxa"/>
            <w:tcBorders>
              <w:top w:val="single" w:color="000000" w:sz="4" w:space="0"/>
              <w:left w:val="single" w:color="000000" w:sz="4" w:space="0"/>
              <w:bottom w:val="single" w:color="000000" w:sz="4" w:space="0"/>
              <w:right w:val="single" w:color="000000" w:sz="4" w:space="0"/>
            </w:tcBorders>
            <w:vAlign w:val="center"/>
          </w:tcPr>
          <w:p w14:paraId="7AA2C978">
            <w:pPr>
              <w:pStyle w:val="14"/>
              <w:kinsoku w:val="0"/>
              <w:overflowPunct w:val="0"/>
              <w:snapToGrid w:val="0"/>
              <w:jc w:val="center"/>
              <w:rPr>
                <w:rFonts w:eastAsia="仿宋"/>
                <w:color w:val="auto"/>
              </w:rPr>
            </w:pPr>
            <w:r>
              <w:rPr>
                <w:rFonts w:eastAsia="仿宋"/>
                <w:color w:val="auto"/>
              </w:rPr>
              <w:t>验收调查依据</w:t>
            </w:r>
          </w:p>
        </w:tc>
        <w:tc>
          <w:tcPr>
            <w:tcW w:w="7513" w:type="dxa"/>
            <w:gridSpan w:val="6"/>
            <w:tcBorders>
              <w:top w:val="single" w:color="000000" w:sz="4" w:space="0"/>
              <w:left w:val="single" w:color="000000" w:sz="4" w:space="0"/>
              <w:bottom w:val="single" w:color="000000" w:sz="4" w:space="0"/>
              <w:right w:val="single" w:color="000000" w:sz="4" w:space="0"/>
            </w:tcBorders>
            <w:vAlign w:val="center"/>
          </w:tcPr>
          <w:p w14:paraId="48EE5789">
            <w:pPr>
              <w:snapToGrid w:val="0"/>
              <w:spacing w:line="300" w:lineRule="auto"/>
              <w:jc w:val="both"/>
              <w:rPr>
                <w:rFonts w:eastAsia="仿宋"/>
                <w:color w:val="auto"/>
              </w:rPr>
            </w:pPr>
            <w:r>
              <w:rPr>
                <w:rFonts w:hint="eastAsia" w:eastAsia="仿宋"/>
                <w:color w:val="auto"/>
              </w:rPr>
              <w:t>1、</w:t>
            </w:r>
            <w:r>
              <w:rPr>
                <w:rFonts w:eastAsia="仿宋"/>
                <w:color w:val="auto"/>
              </w:rPr>
              <w:t>《中华人民共和国环境保护法》，国家主席令〔2014〕第9号；</w:t>
            </w:r>
          </w:p>
          <w:p w14:paraId="19690481">
            <w:pPr>
              <w:snapToGrid w:val="0"/>
              <w:spacing w:line="300" w:lineRule="auto"/>
              <w:jc w:val="both"/>
              <w:rPr>
                <w:rFonts w:eastAsia="仿宋"/>
                <w:color w:val="auto"/>
              </w:rPr>
            </w:pPr>
            <w:r>
              <w:rPr>
                <w:rFonts w:hint="eastAsia" w:eastAsia="仿宋"/>
                <w:color w:val="auto"/>
              </w:rPr>
              <w:t>2、</w:t>
            </w:r>
            <w:r>
              <w:rPr>
                <w:rFonts w:eastAsia="仿宋"/>
                <w:color w:val="auto"/>
              </w:rPr>
              <w:t>《中华人民共和国水污染防治法》，国家主席令〔2017〕第70号；</w:t>
            </w:r>
          </w:p>
          <w:p w14:paraId="50579DB3">
            <w:pPr>
              <w:snapToGrid w:val="0"/>
              <w:spacing w:line="300" w:lineRule="auto"/>
              <w:jc w:val="both"/>
              <w:rPr>
                <w:rFonts w:eastAsia="仿宋"/>
                <w:color w:val="auto"/>
              </w:rPr>
            </w:pPr>
            <w:r>
              <w:rPr>
                <w:rFonts w:hint="eastAsia" w:eastAsia="仿宋"/>
                <w:color w:val="auto"/>
              </w:rPr>
              <w:t>3、</w:t>
            </w:r>
            <w:r>
              <w:rPr>
                <w:rFonts w:eastAsia="仿宋"/>
                <w:color w:val="auto"/>
              </w:rPr>
              <w:t>《中华人民共和国大气污染防治法》，2018年10月26日修正；</w:t>
            </w:r>
          </w:p>
          <w:p w14:paraId="0C95A9E3">
            <w:pPr>
              <w:snapToGrid w:val="0"/>
              <w:spacing w:line="300" w:lineRule="auto"/>
              <w:jc w:val="both"/>
              <w:rPr>
                <w:rFonts w:eastAsia="仿宋"/>
                <w:color w:val="auto"/>
              </w:rPr>
            </w:pPr>
            <w:r>
              <w:rPr>
                <w:rFonts w:hint="eastAsia" w:eastAsia="仿宋"/>
                <w:color w:val="auto"/>
              </w:rPr>
              <w:t>4、</w:t>
            </w:r>
            <w:r>
              <w:rPr>
                <w:rFonts w:eastAsia="仿宋"/>
                <w:color w:val="auto"/>
              </w:rPr>
              <w:t>《中华人民共和国噪声污染防治法》，2022年6月5日起实施；</w:t>
            </w:r>
          </w:p>
          <w:p w14:paraId="46139E74">
            <w:pPr>
              <w:snapToGrid w:val="0"/>
              <w:spacing w:line="300" w:lineRule="auto"/>
              <w:jc w:val="both"/>
              <w:rPr>
                <w:rFonts w:hint="eastAsia" w:eastAsia="仿宋"/>
                <w:color w:val="auto"/>
              </w:rPr>
            </w:pPr>
            <w:r>
              <w:rPr>
                <w:rFonts w:hint="eastAsia" w:eastAsia="仿宋"/>
                <w:color w:val="auto"/>
              </w:rPr>
              <w:t>5、</w:t>
            </w:r>
            <w:r>
              <w:rPr>
                <w:rFonts w:eastAsia="仿宋"/>
                <w:color w:val="auto"/>
              </w:rPr>
              <w:t>《中华人民共和国固体废物污染环境防治法》，2020年4月29日修订；</w:t>
            </w:r>
          </w:p>
          <w:p w14:paraId="16C05F05">
            <w:pPr>
              <w:snapToGrid w:val="0"/>
              <w:spacing w:line="300" w:lineRule="auto"/>
              <w:jc w:val="both"/>
              <w:rPr>
                <w:rFonts w:hint="eastAsia" w:eastAsia="仿宋"/>
                <w:color w:val="auto"/>
              </w:rPr>
            </w:pPr>
            <w:r>
              <w:rPr>
                <w:rFonts w:hint="eastAsia" w:eastAsia="仿宋"/>
                <w:color w:val="auto"/>
                <w:lang w:val="en-US" w:eastAsia="zh-CN"/>
              </w:rPr>
              <w:t>6、</w:t>
            </w:r>
            <w:r>
              <w:rPr>
                <w:rFonts w:hint="eastAsia" w:eastAsia="仿宋"/>
                <w:color w:val="auto"/>
              </w:rPr>
              <w:t>《建设项目环境保护管理条例》（国务院令第682号，2017年修订）；</w:t>
            </w:r>
          </w:p>
          <w:p w14:paraId="6FB113BE">
            <w:pPr>
              <w:snapToGrid w:val="0"/>
              <w:spacing w:line="300" w:lineRule="auto"/>
              <w:jc w:val="both"/>
              <w:rPr>
                <w:rFonts w:eastAsia="仿宋"/>
                <w:color w:val="auto"/>
              </w:rPr>
            </w:pPr>
            <w:r>
              <w:rPr>
                <w:rFonts w:hint="eastAsia" w:eastAsia="仿宋"/>
                <w:color w:val="auto"/>
                <w:lang w:val="en-US" w:eastAsia="zh-CN"/>
              </w:rPr>
              <w:t>7、</w:t>
            </w:r>
            <w:r>
              <w:rPr>
                <w:rFonts w:hint="eastAsia" w:eastAsia="仿宋"/>
                <w:color w:val="auto"/>
              </w:rPr>
              <w:t>《建设项目竣工环境保护验收暂行办法》（国环规环评〔2017〕4号，2017年11月20日）</w:t>
            </w:r>
            <w:r>
              <w:rPr>
                <w:rFonts w:hint="eastAsia" w:eastAsia="仿宋"/>
                <w:color w:val="auto"/>
                <w:lang w:eastAsia="zh-CN"/>
              </w:rPr>
              <w:t>；</w:t>
            </w:r>
          </w:p>
          <w:p w14:paraId="4EFB81FE">
            <w:pPr>
              <w:snapToGrid w:val="0"/>
              <w:spacing w:line="300" w:lineRule="auto"/>
              <w:jc w:val="both"/>
              <w:rPr>
                <w:rFonts w:eastAsia="仿宋"/>
                <w:color w:val="auto"/>
              </w:rPr>
            </w:pPr>
            <w:r>
              <w:rPr>
                <w:rFonts w:eastAsia="仿宋"/>
                <w:color w:val="auto"/>
              </w:rPr>
              <w:t>8、《关于进一步优化建设项目竣工环境保护验收监测（调查）相关工作的通知》，苏环规[2015]3号；</w:t>
            </w:r>
          </w:p>
          <w:p w14:paraId="4FFF24A9">
            <w:pPr>
              <w:snapToGrid w:val="0"/>
              <w:spacing w:line="300" w:lineRule="auto"/>
              <w:jc w:val="both"/>
              <w:rPr>
                <w:rFonts w:eastAsia="仿宋"/>
                <w:color w:val="auto"/>
              </w:rPr>
            </w:pPr>
            <w:r>
              <w:rPr>
                <w:rFonts w:eastAsia="仿宋"/>
                <w:color w:val="auto"/>
              </w:rPr>
              <w:t>9、《建设项目竣工环境保护设施验收技术规范生态影响类》(HJ394-2007)；</w:t>
            </w:r>
          </w:p>
          <w:p w14:paraId="4CC740F8">
            <w:pPr>
              <w:snapToGrid w:val="0"/>
              <w:spacing w:line="300" w:lineRule="auto"/>
              <w:jc w:val="both"/>
              <w:rPr>
                <w:rFonts w:eastAsia="仿宋"/>
                <w:color w:val="auto"/>
              </w:rPr>
            </w:pPr>
            <w:r>
              <w:rPr>
                <w:rFonts w:eastAsia="仿宋"/>
                <w:color w:val="auto"/>
              </w:rPr>
              <w:t>10、省生态环境厅《关于生态影响类建设项目环保验收主体的复函》(苏环函(2019)13号)；</w:t>
            </w:r>
          </w:p>
          <w:p w14:paraId="42528104">
            <w:pPr>
              <w:snapToGrid w:val="0"/>
              <w:spacing w:line="300" w:lineRule="auto"/>
              <w:jc w:val="both"/>
              <w:rPr>
                <w:rFonts w:eastAsia="仿宋"/>
                <w:color w:val="auto"/>
              </w:rPr>
            </w:pPr>
            <w:r>
              <w:rPr>
                <w:rFonts w:eastAsia="仿宋"/>
                <w:color w:val="auto"/>
              </w:rPr>
              <w:t>11、《连云港荣泰化工仓储有限公司技改优化提升项目环境影响报告表》，</w:t>
            </w:r>
            <w:r>
              <w:rPr>
                <w:rFonts w:hint="eastAsia" w:eastAsia="仿宋"/>
                <w:color w:val="auto"/>
              </w:rPr>
              <w:t>中蓝连海设计研究院有限公司</w:t>
            </w:r>
            <w:r>
              <w:rPr>
                <w:rFonts w:eastAsia="仿宋"/>
                <w:color w:val="auto"/>
              </w:rPr>
              <w:t>，202</w:t>
            </w:r>
            <w:r>
              <w:rPr>
                <w:rFonts w:hint="eastAsia" w:eastAsia="仿宋"/>
                <w:color w:val="auto"/>
              </w:rPr>
              <w:t>4</w:t>
            </w:r>
            <w:r>
              <w:rPr>
                <w:rFonts w:eastAsia="仿宋"/>
                <w:color w:val="auto"/>
              </w:rPr>
              <w:t>年</w:t>
            </w:r>
            <w:r>
              <w:rPr>
                <w:rFonts w:hint="eastAsia" w:eastAsia="仿宋"/>
                <w:color w:val="auto"/>
              </w:rPr>
              <w:t>7</w:t>
            </w:r>
            <w:r>
              <w:rPr>
                <w:rFonts w:eastAsia="仿宋"/>
                <w:color w:val="auto"/>
              </w:rPr>
              <w:t>月；</w:t>
            </w:r>
          </w:p>
          <w:p w14:paraId="20B1E1FD">
            <w:pPr>
              <w:snapToGrid w:val="0"/>
              <w:spacing w:line="300" w:lineRule="auto"/>
              <w:jc w:val="both"/>
              <w:rPr>
                <w:rFonts w:eastAsia="仿宋"/>
                <w:color w:val="auto"/>
              </w:rPr>
            </w:pPr>
            <w:r>
              <w:rPr>
                <w:rFonts w:eastAsia="仿宋"/>
                <w:color w:val="auto"/>
              </w:rPr>
              <w:t>12、《关于</w:t>
            </w:r>
            <w:r>
              <w:rPr>
                <w:rFonts w:hint="eastAsia" w:eastAsia="仿宋"/>
                <w:color w:val="auto"/>
              </w:rPr>
              <w:t>连云港荣泰化工仓储有限公司技改优化提升项目</w:t>
            </w:r>
            <w:r>
              <w:rPr>
                <w:rFonts w:eastAsia="仿宋"/>
                <w:color w:val="auto"/>
              </w:rPr>
              <w:t>环境影响报告表的批复》，国家东中西区域合作示范区(连云港徐圩新区)环境保护局，示范区环审[202</w:t>
            </w:r>
            <w:r>
              <w:rPr>
                <w:rFonts w:hint="eastAsia" w:eastAsia="仿宋"/>
                <w:color w:val="auto"/>
              </w:rPr>
              <w:t>4</w:t>
            </w:r>
            <w:r>
              <w:rPr>
                <w:rFonts w:eastAsia="仿宋"/>
                <w:color w:val="auto"/>
              </w:rPr>
              <w:t>]</w:t>
            </w:r>
            <w:r>
              <w:rPr>
                <w:rFonts w:hint="eastAsia" w:eastAsia="仿宋"/>
                <w:color w:val="auto"/>
              </w:rPr>
              <w:t>27</w:t>
            </w:r>
            <w:r>
              <w:rPr>
                <w:rFonts w:eastAsia="仿宋"/>
                <w:color w:val="auto"/>
              </w:rPr>
              <w:t>号；</w:t>
            </w:r>
          </w:p>
          <w:p w14:paraId="7659E635">
            <w:pPr>
              <w:snapToGrid w:val="0"/>
              <w:spacing w:line="300" w:lineRule="auto"/>
              <w:jc w:val="both"/>
              <w:rPr>
                <w:rFonts w:eastAsia="仿宋"/>
                <w:color w:val="auto"/>
              </w:rPr>
            </w:pPr>
            <w:r>
              <w:rPr>
                <w:rFonts w:eastAsia="仿宋"/>
                <w:color w:val="auto"/>
              </w:rPr>
              <w:t>13、其他相关现行法律、法规等。</w:t>
            </w:r>
          </w:p>
          <w:p w14:paraId="61A7A153">
            <w:pPr>
              <w:snapToGrid w:val="0"/>
              <w:spacing w:line="300" w:lineRule="auto"/>
              <w:jc w:val="both"/>
              <w:rPr>
                <w:rFonts w:eastAsia="仿宋"/>
                <w:color w:val="auto"/>
              </w:rPr>
            </w:pPr>
          </w:p>
          <w:p w14:paraId="3F6184F2">
            <w:pPr>
              <w:snapToGrid w:val="0"/>
              <w:spacing w:line="300" w:lineRule="auto"/>
              <w:jc w:val="both"/>
              <w:rPr>
                <w:rFonts w:eastAsia="仿宋"/>
                <w:color w:val="auto"/>
              </w:rPr>
            </w:pPr>
          </w:p>
          <w:p w14:paraId="326BAE9A">
            <w:pPr>
              <w:snapToGrid w:val="0"/>
              <w:spacing w:line="300" w:lineRule="auto"/>
              <w:jc w:val="both"/>
              <w:rPr>
                <w:rFonts w:eastAsia="仿宋"/>
                <w:color w:val="auto"/>
              </w:rPr>
            </w:pPr>
          </w:p>
          <w:p w14:paraId="5D5F11A8">
            <w:pPr>
              <w:snapToGrid w:val="0"/>
              <w:spacing w:line="300" w:lineRule="auto"/>
              <w:jc w:val="both"/>
              <w:rPr>
                <w:rFonts w:eastAsia="仿宋"/>
                <w:color w:val="auto"/>
              </w:rPr>
            </w:pPr>
          </w:p>
          <w:p w14:paraId="3898C9AC">
            <w:pPr>
              <w:snapToGrid w:val="0"/>
              <w:spacing w:line="300" w:lineRule="auto"/>
              <w:jc w:val="both"/>
              <w:rPr>
                <w:rFonts w:eastAsia="仿宋"/>
                <w:color w:val="auto"/>
              </w:rPr>
            </w:pPr>
          </w:p>
          <w:p w14:paraId="4B3C2788">
            <w:pPr>
              <w:snapToGrid w:val="0"/>
              <w:spacing w:line="300" w:lineRule="auto"/>
              <w:jc w:val="both"/>
              <w:rPr>
                <w:rFonts w:eastAsia="仿宋"/>
                <w:color w:val="auto"/>
              </w:rPr>
            </w:pPr>
          </w:p>
          <w:p w14:paraId="5974F47D">
            <w:pPr>
              <w:snapToGrid w:val="0"/>
              <w:spacing w:line="300" w:lineRule="auto"/>
              <w:jc w:val="both"/>
              <w:rPr>
                <w:rFonts w:eastAsia="仿宋"/>
                <w:color w:val="auto"/>
              </w:rPr>
            </w:pPr>
          </w:p>
          <w:p w14:paraId="5F68615D">
            <w:pPr>
              <w:snapToGrid w:val="0"/>
              <w:spacing w:line="300" w:lineRule="auto"/>
              <w:jc w:val="both"/>
              <w:rPr>
                <w:rFonts w:eastAsia="仿宋"/>
                <w:color w:val="auto"/>
              </w:rPr>
            </w:pPr>
          </w:p>
          <w:p w14:paraId="152D7BF1">
            <w:pPr>
              <w:snapToGrid w:val="0"/>
              <w:spacing w:line="300" w:lineRule="auto"/>
              <w:jc w:val="both"/>
              <w:rPr>
                <w:rFonts w:eastAsia="仿宋"/>
                <w:color w:val="auto"/>
              </w:rPr>
            </w:pPr>
          </w:p>
          <w:p w14:paraId="533C483D">
            <w:pPr>
              <w:snapToGrid w:val="0"/>
              <w:spacing w:line="300" w:lineRule="auto"/>
              <w:jc w:val="both"/>
              <w:rPr>
                <w:rFonts w:eastAsia="仿宋"/>
                <w:color w:val="auto"/>
              </w:rPr>
            </w:pPr>
          </w:p>
          <w:p w14:paraId="06049D29">
            <w:pPr>
              <w:snapToGrid w:val="0"/>
              <w:spacing w:line="300" w:lineRule="auto"/>
              <w:jc w:val="both"/>
              <w:rPr>
                <w:rFonts w:eastAsia="仿宋"/>
                <w:color w:val="auto"/>
              </w:rPr>
            </w:pPr>
          </w:p>
          <w:p w14:paraId="134E2AA9">
            <w:pPr>
              <w:snapToGrid w:val="0"/>
              <w:spacing w:line="300" w:lineRule="auto"/>
              <w:jc w:val="both"/>
              <w:rPr>
                <w:rFonts w:eastAsia="仿宋"/>
                <w:color w:val="auto"/>
              </w:rPr>
            </w:pPr>
          </w:p>
          <w:p w14:paraId="563AA7D2">
            <w:pPr>
              <w:snapToGrid w:val="0"/>
              <w:spacing w:line="300" w:lineRule="auto"/>
              <w:jc w:val="both"/>
              <w:rPr>
                <w:rFonts w:eastAsia="仿宋"/>
                <w:color w:val="auto"/>
              </w:rPr>
            </w:pPr>
          </w:p>
          <w:p w14:paraId="0E523565">
            <w:pPr>
              <w:snapToGrid w:val="0"/>
              <w:spacing w:line="300" w:lineRule="auto"/>
              <w:jc w:val="both"/>
              <w:rPr>
                <w:rFonts w:eastAsia="仿宋"/>
                <w:color w:val="auto"/>
              </w:rPr>
            </w:pPr>
          </w:p>
          <w:p w14:paraId="58ACADAE">
            <w:pPr>
              <w:snapToGrid w:val="0"/>
              <w:spacing w:line="300" w:lineRule="auto"/>
              <w:jc w:val="both"/>
              <w:rPr>
                <w:rFonts w:eastAsia="仿宋"/>
                <w:color w:val="auto"/>
              </w:rPr>
            </w:pPr>
          </w:p>
          <w:p w14:paraId="44E49008">
            <w:pPr>
              <w:snapToGrid w:val="0"/>
              <w:spacing w:line="300" w:lineRule="auto"/>
              <w:jc w:val="both"/>
              <w:rPr>
                <w:rFonts w:eastAsia="仿宋"/>
                <w:color w:val="auto"/>
              </w:rPr>
            </w:pPr>
          </w:p>
          <w:p w14:paraId="23F81A93">
            <w:pPr>
              <w:snapToGrid w:val="0"/>
              <w:spacing w:line="300" w:lineRule="auto"/>
              <w:jc w:val="both"/>
              <w:rPr>
                <w:rFonts w:eastAsia="仿宋"/>
                <w:color w:val="auto"/>
              </w:rPr>
            </w:pPr>
          </w:p>
          <w:p w14:paraId="0C4462D6">
            <w:pPr>
              <w:snapToGrid w:val="0"/>
              <w:spacing w:line="300" w:lineRule="auto"/>
              <w:jc w:val="both"/>
              <w:rPr>
                <w:rFonts w:eastAsia="仿宋"/>
                <w:color w:val="auto"/>
              </w:rPr>
            </w:pPr>
          </w:p>
          <w:p w14:paraId="778A8C3C">
            <w:pPr>
              <w:snapToGrid w:val="0"/>
              <w:spacing w:line="300" w:lineRule="auto"/>
              <w:jc w:val="both"/>
              <w:rPr>
                <w:rFonts w:eastAsia="仿宋"/>
                <w:color w:val="auto"/>
              </w:rPr>
            </w:pPr>
          </w:p>
          <w:p w14:paraId="65C0BBC5">
            <w:pPr>
              <w:snapToGrid w:val="0"/>
              <w:spacing w:line="300" w:lineRule="auto"/>
              <w:jc w:val="both"/>
              <w:rPr>
                <w:rFonts w:eastAsia="仿宋"/>
                <w:color w:val="auto"/>
              </w:rPr>
            </w:pPr>
          </w:p>
          <w:p w14:paraId="1D8D145D">
            <w:pPr>
              <w:snapToGrid w:val="0"/>
              <w:spacing w:line="300" w:lineRule="auto"/>
              <w:jc w:val="both"/>
              <w:rPr>
                <w:rFonts w:hint="eastAsia" w:eastAsia="仿宋"/>
                <w:color w:val="auto"/>
              </w:rPr>
            </w:pPr>
          </w:p>
        </w:tc>
      </w:tr>
    </w:tbl>
    <w:p w14:paraId="4E6B3EC0">
      <w:pPr>
        <w:pStyle w:val="14"/>
        <w:kinsoku w:val="0"/>
        <w:overflowPunct w:val="0"/>
        <w:adjustRightInd/>
        <w:spacing w:line="360" w:lineRule="auto"/>
        <w:rPr>
          <w:rFonts w:eastAsia="仿宋"/>
          <w:color w:val="auto"/>
          <w:sz w:val="28"/>
          <w:szCs w:val="21"/>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699F642">
      <w:pPr>
        <w:pStyle w:val="4"/>
        <w:kinsoku w:val="0"/>
        <w:overflowPunct w:val="0"/>
        <w:spacing w:before="168"/>
        <w:ind w:left="0" w:right="255"/>
        <w:outlineLvl w:val="0"/>
        <w:rPr>
          <w:rFonts w:ascii="Times New Roman" w:eastAsia="仿宋" w:cs="Times New Roman"/>
          <w:b/>
          <w:bCs/>
          <w:color w:val="auto"/>
          <w:sz w:val="24"/>
          <w:szCs w:val="24"/>
        </w:rPr>
      </w:pPr>
      <w:r>
        <w:rPr>
          <w:rFonts w:ascii="Times New Roman" w:eastAsia="仿宋" w:cs="Times New Roman"/>
          <w:b/>
          <w:bCs/>
          <w:color w:val="auto"/>
          <w:sz w:val="24"/>
          <w:szCs w:val="24"/>
        </w:rPr>
        <w:t>表2  调查范围、因子、目标、重点</w:t>
      </w:r>
    </w:p>
    <w:tbl>
      <w:tblPr>
        <w:tblStyle w:val="7"/>
        <w:tblW w:w="9071" w:type="dxa"/>
        <w:jc w:val="center"/>
        <w:tblLayout w:type="fixed"/>
        <w:tblCellMar>
          <w:top w:w="0" w:type="dxa"/>
          <w:left w:w="0" w:type="dxa"/>
          <w:bottom w:w="0" w:type="dxa"/>
          <w:right w:w="0" w:type="dxa"/>
        </w:tblCellMar>
      </w:tblPr>
      <w:tblGrid>
        <w:gridCol w:w="808"/>
        <w:gridCol w:w="8263"/>
      </w:tblGrid>
      <w:tr w14:paraId="160846F2">
        <w:tblPrEx>
          <w:tblCellMar>
            <w:top w:w="0" w:type="dxa"/>
            <w:left w:w="0" w:type="dxa"/>
            <w:bottom w:w="0" w:type="dxa"/>
            <w:right w:w="0" w:type="dxa"/>
          </w:tblCellMar>
        </w:tblPrEx>
        <w:trPr>
          <w:trHeight w:val="2678" w:hRule="atLeast"/>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49E39781">
            <w:pPr>
              <w:pStyle w:val="14"/>
              <w:kinsoku w:val="0"/>
              <w:overflowPunct w:val="0"/>
              <w:jc w:val="center"/>
              <w:rPr>
                <w:rFonts w:eastAsia="仿宋"/>
                <w:color w:val="auto"/>
              </w:rPr>
            </w:pPr>
            <w:r>
              <w:rPr>
                <w:rFonts w:eastAsia="仿宋"/>
                <w:color w:val="auto"/>
              </w:rPr>
              <w:t>调查</w:t>
            </w:r>
          </w:p>
          <w:p w14:paraId="6489341C">
            <w:pPr>
              <w:pStyle w:val="14"/>
              <w:kinsoku w:val="0"/>
              <w:overflowPunct w:val="0"/>
              <w:jc w:val="center"/>
              <w:rPr>
                <w:rFonts w:eastAsia="仿宋"/>
                <w:color w:val="auto"/>
              </w:rPr>
            </w:pPr>
            <w:r>
              <w:rPr>
                <w:rFonts w:eastAsia="仿宋"/>
                <w:color w:val="auto"/>
              </w:rPr>
              <w:t>范围</w:t>
            </w:r>
          </w:p>
        </w:tc>
        <w:tc>
          <w:tcPr>
            <w:tcW w:w="8632" w:type="dxa"/>
            <w:tcBorders>
              <w:top w:val="single" w:color="000000" w:sz="4" w:space="0"/>
              <w:left w:val="single" w:color="000000" w:sz="4" w:space="0"/>
              <w:bottom w:val="single" w:color="000000" w:sz="4" w:space="0"/>
              <w:right w:val="single" w:color="000000" w:sz="4" w:space="0"/>
            </w:tcBorders>
          </w:tcPr>
          <w:p w14:paraId="09BD70D5">
            <w:pPr>
              <w:adjustRightInd/>
              <w:spacing w:line="300" w:lineRule="auto"/>
              <w:ind w:firstLine="480" w:firstLineChars="200"/>
              <w:jc w:val="both"/>
              <w:rPr>
                <w:rFonts w:eastAsia="仿宋"/>
                <w:color w:val="auto"/>
              </w:rPr>
            </w:pPr>
            <w:r>
              <w:rPr>
                <w:rFonts w:eastAsia="仿宋"/>
                <w:color w:val="auto"/>
              </w:rPr>
              <w:t>本次验收调查范围为产业协同外围管输项目工程建设内容</w:t>
            </w:r>
          </w:p>
          <w:p w14:paraId="7B3B84BA">
            <w:pPr>
              <w:adjustRightInd/>
              <w:spacing w:line="300" w:lineRule="auto"/>
              <w:ind w:firstLine="480" w:firstLineChars="200"/>
              <w:jc w:val="both"/>
              <w:rPr>
                <w:rFonts w:eastAsia="仿宋"/>
                <w:color w:val="auto"/>
              </w:rPr>
            </w:pPr>
            <w:r>
              <w:rPr>
                <w:rFonts w:hint="eastAsia" w:eastAsia="仿宋"/>
                <w:color w:val="auto"/>
              </w:rPr>
              <w:t>（1）</w:t>
            </w:r>
            <w:r>
              <w:rPr>
                <w:rFonts w:eastAsia="仿宋"/>
                <w:color w:val="auto"/>
              </w:rPr>
              <w:t>生态环境：本项目管线依托园区管廊敷设，管道及其他工艺部件均为预制件和成品设备，运至现场的管道为已完成涂漆管道，运至现场后均采用焊接及法兰连接方式进行，完成无损检测和强度测试后机械竣工，施工期及营运期正常工况下不会对生态环境产生影响。</w:t>
            </w:r>
          </w:p>
          <w:p w14:paraId="44C42010">
            <w:pPr>
              <w:adjustRightInd/>
              <w:spacing w:line="300" w:lineRule="auto"/>
              <w:ind w:firstLine="480" w:firstLineChars="200"/>
              <w:jc w:val="both"/>
              <w:rPr>
                <w:rFonts w:eastAsia="仿宋"/>
                <w:color w:val="auto"/>
              </w:rPr>
            </w:pPr>
            <w:r>
              <w:rPr>
                <w:rFonts w:hint="eastAsia" w:eastAsia="仿宋"/>
                <w:color w:val="auto"/>
              </w:rPr>
              <w:t>（2）</w:t>
            </w:r>
            <w:r>
              <w:rPr>
                <w:rFonts w:eastAsia="仿宋"/>
                <w:color w:val="auto"/>
              </w:rPr>
              <w:t>水、气、声环境：运营期无</w:t>
            </w:r>
            <w:r>
              <w:rPr>
                <w:rFonts w:hint="eastAsia" w:eastAsia="仿宋"/>
                <w:color w:val="auto"/>
              </w:rPr>
              <w:t>废水、固废产生，</w:t>
            </w:r>
            <w:r>
              <w:rPr>
                <w:rFonts w:eastAsia="仿宋"/>
                <w:color w:val="auto"/>
              </w:rPr>
              <w:t>主要调查施工期废水、废气、噪声处理情况</w:t>
            </w:r>
            <w:r>
              <w:rPr>
                <w:rFonts w:hint="eastAsia" w:eastAsia="仿宋"/>
                <w:color w:val="auto"/>
              </w:rPr>
              <w:t>及运营期废气、噪声处理及排放情况</w:t>
            </w:r>
            <w:r>
              <w:rPr>
                <w:rFonts w:eastAsia="仿宋"/>
                <w:color w:val="auto"/>
              </w:rPr>
              <w:t>，调查范围为管道沿线。</w:t>
            </w:r>
          </w:p>
        </w:tc>
      </w:tr>
      <w:tr w14:paraId="79C75A3E">
        <w:tblPrEx>
          <w:tblCellMar>
            <w:top w:w="0" w:type="dxa"/>
            <w:left w:w="0" w:type="dxa"/>
            <w:bottom w:w="0" w:type="dxa"/>
            <w:right w:w="0" w:type="dxa"/>
          </w:tblCellMar>
        </w:tblPrEx>
        <w:trPr>
          <w:trHeight w:val="567" w:hRule="atLeast"/>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09A24B16">
            <w:pPr>
              <w:pStyle w:val="14"/>
              <w:kinsoku w:val="0"/>
              <w:overflowPunct w:val="0"/>
              <w:jc w:val="center"/>
              <w:rPr>
                <w:rFonts w:eastAsia="仿宋"/>
                <w:color w:val="auto"/>
              </w:rPr>
            </w:pPr>
            <w:r>
              <w:rPr>
                <w:rFonts w:eastAsia="仿宋"/>
                <w:color w:val="auto"/>
              </w:rPr>
              <w:t>调查</w:t>
            </w:r>
          </w:p>
          <w:p w14:paraId="33F9D2CE">
            <w:pPr>
              <w:pStyle w:val="14"/>
              <w:kinsoku w:val="0"/>
              <w:overflowPunct w:val="0"/>
              <w:jc w:val="center"/>
              <w:rPr>
                <w:rFonts w:eastAsia="仿宋"/>
                <w:color w:val="auto"/>
              </w:rPr>
            </w:pPr>
            <w:r>
              <w:rPr>
                <w:rFonts w:eastAsia="仿宋"/>
                <w:color w:val="auto"/>
              </w:rPr>
              <w:t>因子</w:t>
            </w:r>
          </w:p>
        </w:tc>
        <w:tc>
          <w:tcPr>
            <w:tcW w:w="8632" w:type="dxa"/>
            <w:tcBorders>
              <w:top w:val="single" w:color="000000" w:sz="4" w:space="0"/>
              <w:left w:val="single" w:color="000000" w:sz="4" w:space="0"/>
              <w:bottom w:val="single" w:color="000000" w:sz="4" w:space="0"/>
              <w:right w:val="single" w:color="000000" w:sz="4" w:space="0"/>
            </w:tcBorders>
            <w:vAlign w:val="center"/>
          </w:tcPr>
          <w:p w14:paraId="4C193DEF">
            <w:pPr>
              <w:adjustRightInd/>
              <w:spacing w:line="300" w:lineRule="auto"/>
              <w:ind w:firstLine="480" w:firstLineChars="200"/>
              <w:jc w:val="both"/>
              <w:rPr>
                <w:rFonts w:hint="default" w:eastAsia="仿宋"/>
                <w:color w:val="auto"/>
                <w:lang w:val="en-US" w:eastAsia="zh-CN"/>
              </w:rPr>
            </w:pPr>
            <w:r>
              <w:rPr>
                <w:rFonts w:hint="eastAsia" w:eastAsia="仿宋"/>
                <w:color w:val="auto"/>
              </w:rPr>
              <w:t>（1）</w:t>
            </w:r>
            <w:r>
              <w:rPr>
                <w:rFonts w:eastAsia="仿宋"/>
                <w:color w:val="auto"/>
              </w:rPr>
              <w:t>大气环境：</w:t>
            </w:r>
            <w:r>
              <w:rPr>
                <w:rFonts w:hint="eastAsia" w:eastAsia="仿宋"/>
                <w:color w:val="auto"/>
              </w:rPr>
              <w:t>施工期</w:t>
            </w:r>
            <w:r>
              <w:rPr>
                <w:rFonts w:eastAsia="仿宋"/>
                <w:color w:val="auto"/>
              </w:rPr>
              <w:t>车辆及器械尾气、焊烟；</w:t>
            </w:r>
            <w:r>
              <w:rPr>
                <w:rFonts w:hint="eastAsia" w:eastAsia="仿宋"/>
                <w:color w:val="auto"/>
              </w:rPr>
              <w:t>运营期管线及配套泵组、紧急切断阀等设备的密封点无组织废气</w:t>
            </w:r>
            <w:r>
              <w:rPr>
                <w:rFonts w:hint="eastAsia" w:eastAsia="仿宋"/>
                <w:color w:val="auto"/>
                <w:lang w:val="en-US" w:eastAsia="zh-CN"/>
              </w:rPr>
              <w:t>非甲烷总烃；管线在检修过程中产生吹扫废气；</w:t>
            </w:r>
          </w:p>
          <w:p w14:paraId="2E716968">
            <w:pPr>
              <w:adjustRightInd/>
              <w:spacing w:line="300" w:lineRule="auto"/>
              <w:ind w:firstLine="480" w:firstLineChars="200"/>
              <w:rPr>
                <w:rFonts w:eastAsia="仿宋"/>
                <w:color w:val="auto"/>
              </w:rPr>
            </w:pPr>
            <w:r>
              <w:rPr>
                <w:rFonts w:hint="eastAsia" w:eastAsia="仿宋"/>
                <w:color w:val="auto"/>
              </w:rPr>
              <w:t>（2）</w:t>
            </w:r>
            <w:r>
              <w:rPr>
                <w:rFonts w:eastAsia="仿宋"/>
                <w:color w:val="auto"/>
              </w:rPr>
              <w:t>废水：施工期废水处理情况及去向；</w:t>
            </w:r>
          </w:p>
          <w:p w14:paraId="45DD676D">
            <w:pPr>
              <w:adjustRightInd/>
              <w:spacing w:line="300" w:lineRule="auto"/>
              <w:ind w:firstLine="480" w:firstLineChars="200"/>
              <w:rPr>
                <w:rFonts w:eastAsia="仿宋"/>
                <w:color w:val="auto"/>
              </w:rPr>
            </w:pPr>
            <w:r>
              <w:rPr>
                <w:rFonts w:hint="eastAsia" w:eastAsia="仿宋"/>
                <w:color w:val="auto"/>
              </w:rPr>
              <w:t>（3）</w:t>
            </w:r>
            <w:r>
              <w:rPr>
                <w:rFonts w:eastAsia="仿宋"/>
                <w:color w:val="auto"/>
              </w:rPr>
              <w:t>噪声：施工期</w:t>
            </w:r>
            <w:r>
              <w:rPr>
                <w:rFonts w:hint="eastAsia" w:eastAsia="仿宋"/>
                <w:color w:val="auto"/>
                <w:lang w:eastAsia="zh-CN"/>
              </w:rPr>
              <w:t>、</w:t>
            </w:r>
            <w:r>
              <w:rPr>
                <w:rFonts w:hint="eastAsia" w:eastAsia="仿宋"/>
                <w:color w:val="auto"/>
                <w:lang w:val="en-US" w:eastAsia="zh-CN"/>
              </w:rPr>
              <w:t>运营期</w:t>
            </w:r>
            <w:r>
              <w:rPr>
                <w:rFonts w:eastAsia="仿宋"/>
                <w:color w:val="auto"/>
              </w:rPr>
              <w:t>噪声对区域环境敏感目标影响情况；</w:t>
            </w:r>
          </w:p>
          <w:p w14:paraId="11EFC6D3">
            <w:pPr>
              <w:adjustRightInd/>
              <w:spacing w:line="300" w:lineRule="auto"/>
              <w:ind w:firstLine="480" w:firstLineChars="200"/>
              <w:rPr>
                <w:rFonts w:hint="eastAsia" w:eastAsia="仿宋"/>
                <w:color w:val="auto"/>
                <w:lang w:eastAsia="zh-CN"/>
              </w:rPr>
            </w:pPr>
            <w:r>
              <w:rPr>
                <w:rFonts w:hint="eastAsia" w:eastAsia="仿宋"/>
                <w:color w:val="auto"/>
              </w:rPr>
              <w:t>（4）</w:t>
            </w:r>
            <w:r>
              <w:rPr>
                <w:rFonts w:eastAsia="仿宋"/>
                <w:color w:val="auto"/>
              </w:rPr>
              <w:t>固废：施工期固体废物处置情况</w:t>
            </w:r>
            <w:r>
              <w:rPr>
                <w:rFonts w:hint="eastAsia" w:eastAsia="仿宋"/>
                <w:color w:val="auto"/>
              </w:rPr>
              <w:t>；</w:t>
            </w:r>
            <w:r>
              <w:rPr>
                <w:rFonts w:hint="eastAsia" w:eastAsia="仿宋"/>
                <w:color w:val="auto"/>
                <w:lang w:val="en-US" w:eastAsia="zh-CN"/>
              </w:rPr>
              <w:t>运营期</w:t>
            </w:r>
            <w:r>
              <w:rPr>
                <w:rFonts w:hint="eastAsia" w:eastAsia="仿宋"/>
                <w:color w:val="auto"/>
              </w:rPr>
              <w:t>检修及扫线</w:t>
            </w:r>
            <w:r>
              <w:rPr>
                <w:rFonts w:hint="eastAsia" w:eastAsia="仿宋"/>
                <w:color w:val="auto"/>
                <w:lang w:val="en-US" w:eastAsia="zh-CN"/>
              </w:rPr>
              <w:t>产生的</w:t>
            </w:r>
            <w:r>
              <w:rPr>
                <w:rFonts w:hint="eastAsia" w:eastAsia="仿宋"/>
                <w:color w:val="auto"/>
              </w:rPr>
              <w:t>废弃物</w:t>
            </w:r>
            <w:r>
              <w:rPr>
                <w:rFonts w:hint="eastAsia" w:eastAsia="仿宋"/>
                <w:color w:val="auto"/>
                <w:lang w:eastAsia="zh-CN"/>
              </w:rPr>
              <w:t>；</w:t>
            </w:r>
          </w:p>
          <w:p w14:paraId="3EFC87A7">
            <w:pPr>
              <w:adjustRightInd/>
              <w:spacing w:line="300" w:lineRule="auto"/>
              <w:ind w:firstLine="480" w:firstLineChars="200"/>
              <w:rPr>
                <w:rFonts w:eastAsia="仿宋"/>
                <w:color w:val="auto"/>
              </w:rPr>
            </w:pPr>
            <w:r>
              <w:rPr>
                <w:rFonts w:hint="eastAsia" w:eastAsia="仿宋"/>
                <w:color w:val="auto"/>
              </w:rPr>
              <w:t>（5）生态：施工期对生态的影响。</w:t>
            </w:r>
          </w:p>
        </w:tc>
      </w:tr>
      <w:tr w14:paraId="0C070351">
        <w:tblPrEx>
          <w:tblCellMar>
            <w:top w:w="0" w:type="dxa"/>
            <w:left w:w="0" w:type="dxa"/>
            <w:bottom w:w="0" w:type="dxa"/>
            <w:right w:w="0" w:type="dxa"/>
          </w:tblCellMar>
        </w:tblPrEx>
        <w:trPr>
          <w:trHeight w:val="1114" w:hRule="atLeast"/>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624594A5">
            <w:pPr>
              <w:pStyle w:val="14"/>
              <w:kinsoku w:val="0"/>
              <w:overflowPunct w:val="0"/>
              <w:jc w:val="center"/>
              <w:rPr>
                <w:rFonts w:eastAsia="仿宋"/>
                <w:color w:val="auto"/>
              </w:rPr>
            </w:pPr>
            <w:r>
              <w:rPr>
                <w:rFonts w:eastAsia="仿宋"/>
                <w:color w:val="auto"/>
              </w:rPr>
              <w:t>环境</w:t>
            </w:r>
          </w:p>
          <w:p w14:paraId="4F603E5E">
            <w:pPr>
              <w:pStyle w:val="14"/>
              <w:kinsoku w:val="0"/>
              <w:overflowPunct w:val="0"/>
              <w:jc w:val="center"/>
              <w:rPr>
                <w:rFonts w:eastAsia="仿宋"/>
                <w:color w:val="auto"/>
              </w:rPr>
            </w:pPr>
            <w:r>
              <w:rPr>
                <w:rFonts w:eastAsia="仿宋"/>
                <w:color w:val="auto"/>
              </w:rPr>
              <w:t>敏感</w:t>
            </w:r>
          </w:p>
          <w:p w14:paraId="2FE24DFE">
            <w:pPr>
              <w:pStyle w:val="14"/>
              <w:kinsoku w:val="0"/>
              <w:overflowPunct w:val="0"/>
              <w:jc w:val="center"/>
              <w:rPr>
                <w:rFonts w:eastAsia="仿宋"/>
                <w:color w:val="auto"/>
              </w:rPr>
            </w:pPr>
            <w:r>
              <w:rPr>
                <w:rFonts w:eastAsia="仿宋"/>
                <w:color w:val="auto"/>
              </w:rPr>
              <w:t>目标</w:t>
            </w:r>
          </w:p>
        </w:tc>
        <w:tc>
          <w:tcPr>
            <w:tcW w:w="8632" w:type="dxa"/>
            <w:tcBorders>
              <w:top w:val="single" w:color="000000" w:sz="4" w:space="0"/>
              <w:left w:val="single" w:color="000000" w:sz="4" w:space="0"/>
              <w:bottom w:val="single" w:color="000000" w:sz="4" w:space="0"/>
              <w:right w:val="single" w:color="000000" w:sz="4" w:space="0"/>
            </w:tcBorders>
            <w:vAlign w:val="center"/>
          </w:tcPr>
          <w:p w14:paraId="17239D8E">
            <w:pPr>
              <w:adjustRightInd/>
              <w:spacing w:line="500" w:lineRule="exact"/>
              <w:ind w:firstLine="480" w:firstLineChars="200"/>
              <w:rPr>
                <w:rFonts w:eastAsia="仿宋"/>
                <w:color w:val="auto"/>
              </w:rPr>
            </w:pPr>
            <w:r>
              <w:rPr>
                <w:rFonts w:eastAsia="仿宋"/>
                <w:color w:val="auto"/>
              </w:rPr>
              <w:t>本项目位于连云港石化产业基地内，项目大气、声评价范围内（线路中心线向两侧外延200m）主要为内各生产企业，无居民点、学校等环境空气保护目标、声环境保护目标；根据《环境影响评价技术导则土壤环境（试行）》（HJ964 -2018），本项目土壤环境影响评价类别为“Ⅳ类”，不开展土壤环境影响评价；且管线周边1km 范围内无“耕地、园区、牧草地、饮用水水源地或居民区、学校、医院、疗养院、养老院及其他土壤环境敏感目标。项目周边为海域，不涉及地下水环境环境保护目标；项目管线依托园区公共管廊敷设，不涉及穿越重要生态敏感区和特殊生态敏感区，且位于连云港石化产业基地内，符合规划环评要求，因此本次不确生态影响评价等级，只进行简单分析</w:t>
            </w:r>
            <w:r>
              <w:rPr>
                <w:rFonts w:hint="eastAsia" w:eastAsia="仿宋"/>
                <w:color w:val="auto"/>
              </w:rPr>
              <w:t>，不设置生态评价范围</w:t>
            </w:r>
            <w:r>
              <w:rPr>
                <w:rFonts w:eastAsia="仿宋"/>
                <w:color w:val="auto"/>
              </w:rPr>
              <w:t>。</w:t>
            </w:r>
          </w:p>
          <w:p w14:paraId="539F6C4C">
            <w:pPr>
              <w:adjustRightInd/>
              <w:spacing w:line="500" w:lineRule="exact"/>
              <w:ind w:firstLine="480" w:firstLineChars="200"/>
              <w:rPr>
                <w:rFonts w:eastAsia="仿宋"/>
                <w:color w:val="auto"/>
              </w:rPr>
            </w:pPr>
            <w:r>
              <w:rPr>
                <w:rFonts w:eastAsia="仿宋"/>
                <w:color w:val="auto"/>
              </w:rPr>
              <w:t>根据现场调查和统计分析，工程大气环境风险评价范围为线路中心线向两侧外延200m范围内无环境保护目标；本项目</w:t>
            </w:r>
            <w:r>
              <w:rPr>
                <w:rFonts w:hint="eastAsia" w:eastAsia="仿宋"/>
                <w:color w:val="auto"/>
                <w:lang w:val="en-US" w:eastAsia="zh-CN"/>
              </w:rPr>
              <w:t>地下水风险评价范围为管线边界两侧200m范围内</w:t>
            </w:r>
            <w:r>
              <w:rPr>
                <w:rFonts w:eastAsia="仿宋"/>
                <w:color w:val="auto"/>
              </w:rPr>
              <w:t>无地下水环境保护目标；地表水环境风险评价范围</w:t>
            </w:r>
            <w:r>
              <w:rPr>
                <w:rFonts w:hint="eastAsia" w:eastAsia="仿宋"/>
                <w:color w:val="auto"/>
                <w:lang w:val="en-US" w:eastAsia="zh-CN"/>
              </w:rPr>
              <w:t>为</w:t>
            </w:r>
            <w:r>
              <w:rPr>
                <w:rFonts w:hint="eastAsia" w:eastAsia="仿宋"/>
                <w:color w:val="auto"/>
              </w:rPr>
              <w:t>周边地表水</w:t>
            </w:r>
            <w:r>
              <w:rPr>
                <w:rFonts w:eastAsia="仿宋"/>
                <w:color w:val="auto"/>
              </w:rPr>
              <w:t>，</w:t>
            </w:r>
            <w:r>
              <w:rPr>
                <w:rFonts w:hint="eastAsia" w:eastAsia="仿宋"/>
                <w:color w:val="auto"/>
                <w:lang w:val="en-US" w:eastAsia="zh-CN"/>
              </w:rPr>
              <w:t>地表水环境保护目标为古泊善后河，距离本项目9600米</w:t>
            </w:r>
            <w:r>
              <w:rPr>
                <w:rFonts w:hint="eastAsia" w:eastAsia="仿宋"/>
                <w:color w:val="auto"/>
                <w:lang w:eastAsia="zh-CN"/>
              </w:rPr>
              <w:t>。</w:t>
            </w:r>
            <w:r>
              <w:rPr>
                <w:rFonts w:eastAsia="仿宋"/>
                <w:color w:val="auto"/>
              </w:rPr>
              <w:t xml:space="preserve"> </w:t>
            </w:r>
          </w:p>
          <w:p w14:paraId="4832205D">
            <w:pPr>
              <w:adjustRightInd/>
              <w:spacing w:line="500" w:lineRule="exact"/>
              <w:ind w:firstLine="480" w:firstLineChars="200"/>
              <w:rPr>
                <w:rFonts w:hint="eastAsia" w:eastAsia="仿宋"/>
                <w:color w:val="auto"/>
                <w:lang w:val="en-US" w:eastAsia="zh-CN"/>
              </w:rPr>
            </w:pPr>
            <w:r>
              <w:rPr>
                <w:rFonts w:hint="eastAsia" w:eastAsia="仿宋"/>
                <w:color w:val="auto"/>
                <w:lang w:val="en-US" w:eastAsia="zh-CN"/>
              </w:rPr>
              <w:t>本工程涉及的环境保护目标主要为工程周围的生态空间管控区及生态红线区，主要环境保护目标见下表。</w:t>
            </w:r>
          </w:p>
          <w:p w14:paraId="799A4B6E">
            <w:pPr>
              <w:pStyle w:val="14"/>
              <w:kinsoku w:val="0"/>
              <w:overflowPunct w:val="0"/>
              <w:spacing w:line="500" w:lineRule="exact"/>
              <w:ind w:firstLine="211" w:firstLineChars="100"/>
              <w:jc w:val="center"/>
              <w:rPr>
                <w:rFonts w:hint="default" w:eastAsia="仿宋"/>
                <w:b/>
                <w:bCs/>
                <w:color w:val="auto"/>
                <w:sz w:val="21"/>
                <w:szCs w:val="21"/>
                <w:lang w:val="en-US" w:eastAsia="zh-CN"/>
              </w:rPr>
            </w:pPr>
            <w:r>
              <w:rPr>
                <w:rFonts w:hint="eastAsia" w:eastAsia="仿宋"/>
                <w:b/>
                <w:bCs/>
                <w:color w:val="auto"/>
                <w:sz w:val="21"/>
                <w:szCs w:val="21"/>
                <w:lang w:val="en-US" w:eastAsia="zh-CN"/>
              </w:rPr>
              <w:t>表2-1  本工程涉及的主要环境保护目标</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8"/>
              <w:gridCol w:w="732"/>
              <w:gridCol w:w="1193"/>
              <w:gridCol w:w="1682"/>
              <w:gridCol w:w="1771"/>
              <w:gridCol w:w="637"/>
            </w:tblGrid>
            <w:tr w14:paraId="21F7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351" w:type="pct"/>
                  <w:tcBorders>
                    <w:tl2br w:val="nil"/>
                    <w:tr2bl w:val="nil"/>
                  </w:tcBorders>
                  <w:vAlign w:val="center"/>
                </w:tcPr>
                <w:p w14:paraId="56175147">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rPr>
                    <w:t>环境保护</w:t>
                  </w:r>
                  <w:r>
                    <w:rPr>
                      <w:rFonts w:hint="eastAsia" w:eastAsia="仿宋"/>
                      <w:b w:val="0"/>
                      <w:bCs/>
                      <w:color w:val="auto"/>
                      <w:sz w:val="21"/>
                      <w:szCs w:val="21"/>
                      <w:highlight w:val="none"/>
                    </w:rPr>
                    <w:t>目标</w:t>
                  </w:r>
                </w:p>
              </w:tc>
              <w:tc>
                <w:tcPr>
                  <w:tcW w:w="443" w:type="pct"/>
                  <w:tcBorders>
                    <w:tl2br w:val="nil"/>
                    <w:tr2bl w:val="nil"/>
                  </w:tcBorders>
                  <w:vAlign w:val="center"/>
                </w:tcPr>
                <w:p w14:paraId="4E56E380">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rPr>
                    <w:t>方位</w:t>
                  </w:r>
                </w:p>
              </w:tc>
              <w:tc>
                <w:tcPr>
                  <w:tcW w:w="723" w:type="pct"/>
                  <w:tcBorders>
                    <w:tl2br w:val="nil"/>
                    <w:tr2bl w:val="nil"/>
                  </w:tcBorders>
                  <w:vAlign w:val="center"/>
                </w:tcPr>
                <w:p w14:paraId="252B66BE">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rPr>
                    <w:t>距离（</w:t>
                  </w:r>
                  <w:r>
                    <w:rPr>
                      <w:rFonts w:hint="eastAsia" w:eastAsia="仿宋"/>
                      <w:b w:val="0"/>
                      <w:bCs/>
                      <w:color w:val="auto"/>
                      <w:sz w:val="21"/>
                      <w:szCs w:val="21"/>
                      <w:highlight w:val="none"/>
                    </w:rPr>
                    <w:t>k</w:t>
                  </w:r>
                  <w:r>
                    <w:rPr>
                      <w:rFonts w:eastAsia="仿宋"/>
                      <w:b w:val="0"/>
                      <w:bCs/>
                      <w:color w:val="auto"/>
                      <w:sz w:val="21"/>
                      <w:szCs w:val="21"/>
                      <w:highlight w:val="none"/>
                    </w:rPr>
                    <w:t>m）</w:t>
                  </w:r>
                </w:p>
              </w:tc>
              <w:tc>
                <w:tcPr>
                  <w:tcW w:w="1020" w:type="pct"/>
                  <w:tcBorders>
                    <w:tl2br w:val="nil"/>
                    <w:tr2bl w:val="nil"/>
                  </w:tcBorders>
                  <w:vAlign w:val="center"/>
                </w:tcPr>
                <w:p w14:paraId="542489C5">
                  <w:pPr>
                    <w:snapToGrid w:val="0"/>
                    <w:spacing w:line="240" w:lineRule="atLeast"/>
                    <w:jc w:val="center"/>
                    <w:rPr>
                      <w:rFonts w:hint="eastAsia" w:eastAsia="仿宋"/>
                      <w:b w:val="0"/>
                      <w:bCs/>
                      <w:color w:val="auto"/>
                      <w:sz w:val="21"/>
                      <w:szCs w:val="21"/>
                      <w:highlight w:val="none"/>
                      <w:lang w:val="en-US" w:eastAsia="zh-CN"/>
                    </w:rPr>
                  </w:pPr>
                  <w:r>
                    <w:rPr>
                      <w:rFonts w:hint="eastAsia" w:eastAsia="仿宋"/>
                      <w:b w:val="0"/>
                      <w:bCs/>
                      <w:color w:val="auto"/>
                      <w:sz w:val="21"/>
                      <w:szCs w:val="21"/>
                      <w:highlight w:val="none"/>
                      <w:lang w:val="en-US" w:eastAsia="zh-CN"/>
                    </w:rPr>
                    <w:t>规模</w:t>
                  </w:r>
                </w:p>
              </w:tc>
              <w:tc>
                <w:tcPr>
                  <w:tcW w:w="1074" w:type="pct"/>
                  <w:tcBorders>
                    <w:tl2br w:val="nil"/>
                    <w:tr2bl w:val="nil"/>
                  </w:tcBorders>
                  <w:vAlign w:val="center"/>
                </w:tcPr>
                <w:p w14:paraId="4631C1BD">
                  <w:pPr>
                    <w:snapToGrid w:val="0"/>
                    <w:spacing w:line="240" w:lineRule="atLeast"/>
                    <w:jc w:val="center"/>
                    <w:rPr>
                      <w:rFonts w:eastAsia="仿宋"/>
                      <w:b w:val="0"/>
                      <w:bCs/>
                      <w:color w:val="auto"/>
                      <w:sz w:val="21"/>
                      <w:szCs w:val="21"/>
                      <w:highlight w:val="none"/>
                    </w:rPr>
                  </w:pPr>
                  <w:r>
                    <w:rPr>
                      <w:rFonts w:hint="eastAsia" w:eastAsia="仿宋"/>
                      <w:b w:val="0"/>
                      <w:bCs/>
                      <w:color w:val="auto"/>
                      <w:sz w:val="21"/>
                      <w:szCs w:val="21"/>
                      <w:highlight w:val="none"/>
                    </w:rPr>
                    <w:t>环境功能</w:t>
                  </w:r>
                </w:p>
              </w:tc>
              <w:tc>
                <w:tcPr>
                  <w:tcW w:w="386" w:type="pct"/>
                  <w:tcBorders>
                    <w:tl2br w:val="nil"/>
                    <w:tr2bl w:val="nil"/>
                  </w:tcBorders>
                  <w:vAlign w:val="center"/>
                </w:tcPr>
                <w:p w14:paraId="33743F29">
                  <w:pPr>
                    <w:snapToGrid w:val="0"/>
                    <w:spacing w:line="240" w:lineRule="atLeast"/>
                    <w:jc w:val="center"/>
                    <w:rPr>
                      <w:rFonts w:eastAsia="仿宋"/>
                      <w:b w:val="0"/>
                      <w:bCs/>
                      <w:color w:val="auto"/>
                      <w:sz w:val="21"/>
                      <w:szCs w:val="21"/>
                      <w:highlight w:val="none"/>
                    </w:rPr>
                  </w:pPr>
                  <w:r>
                    <w:rPr>
                      <w:rFonts w:hint="eastAsia" w:eastAsia="仿宋"/>
                      <w:b w:val="0"/>
                      <w:bCs/>
                      <w:color w:val="auto"/>
                      <w:sz w:val="21"/>
                      <w:szCs w:val="21"/>
                      <w:highlight w:val="none"/>
                    </w:rPr>
                    <w:t>标准</w:t>
                  </w:r>
                </w:p>
              </w:tc>
            </w:tr>
            <w:tr w14:paraId="15EF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351" w:type="pct"/>
                  <w:tcBorders>
                    <w:tl2br w:val="nil"/>
                    <w:tr2bl w:val="nil"/>
                  </w:tcBorders>
                  <w:vAlign w:val="center"/>
                </w:tcPr>
                <w:p w14:paraId="4C18468B">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 xml:space="preserve">古泊善后河（连云港市区）清水通道维护区 </w:t>
                  </w:r>
                </w:p>
              </w:tc>
              <w:tc>
                <w:tcPr>
                  <w:tcW w:w="443" w:type="pct"/>
                  <w:tcBorders>
                    <w:tl2br w:val="nil"/>
                    <w:tr2bl w:val="nil"/>
                  </w:tcBorders>
                  <w:vAlign w:val="center"/>
                </w:tcPr>
                <w:p w14:paraId="656C4109">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 xml:space="preserve">SE </w:t>
                  </w:r>
                </w:p>
              </w:tc>
              <w:tc>
                <w:tcPr>
                  <w:tcW w:w="723" w:type="pct"/>
                  <w:tcBorders>
                    <w:tl2br w:val="nil"/>
                    <w:tr2bl w:val="nil"/>
                  </w:tcBorders>
                  <w:vAlign w:val="center"/>
                </w:tcPr>
                <w:p w14:paraId="0B15FCEE">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 xml:space="preserve">9600 </w:t>
                  </w:r>
                </w:p>
              </w:tc>
              <w:tc>
                <w:tcPr>
                  <w:tcW w:w="1020" w:type="pct"/>
                  <w:tcBorders>
                    <w:tl2br w:val="nil"/>
                    <w:tr2bl w:val="nil"/>
                  </w:tcBorders>
                  <w:vAlign w:val="center"/>
                </w:tcPr>
                <w:p w14:paraId="6A6D4D65">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总面积11.7km</w:t>
                  </w:r>
                  <w:r>
                    <w:rPr>
                      <w:rFonts w:hint="eastAsia" w:eastAsia="仿宋"/>
                      <w:b w:val="0"/>
                      <w:bCs/>
                      <w:color w:val="auto"/>
                      <w:sz w:val="21"/>
                      <w:szCs w:val="21"/>
                      <w:highlight w:val="none"/>
                      <w:vertAlign w:val="superscript"/>
                      <w:lang w:val="en-US" w:eastAsia="zh-CN"/>
                    </w:rPr>
                    <w:t>2</w:t>
                  </w:r>
                  <w:r>
                    <w:rPr>
                      <w:rFonts w:eastAsia="仿宋"/>
                      <w:b w:val="0"/>
                      <w:bCs/>
                      <w:color w:val="auto"/>
                      <w:sz w:val="21"/>
                      <w:szCs w:val="21"/>
                      <w:highlight w:val="none"/>
                      <w:lang w:val="en-US" w:eastAsia="zh-CN"/>
                    </w:rPr>
                    <w:t xml:space="preserve"> </w:t>
                  </w:r>
                </w:p>
              </w:tc>
              <w:tc>
                <w:tcPr>
                  <w:tcW w:w="1074" w:type="pct"/>
                  <w:tcBorders>
                    <w:tl2br w:val="nil"/>
                    <w:tr2bl w:val="nil"/>
                  </w:tcBorders>
                  <w:vAlign w:val="center"/>
                </w:tcPr>
                <w:p w14:paraId="543B99C3">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 xml:space="preserve">水源水质保护区 </w:t>
                  </w:r>
                </w:p>
              </w:tc>
              <w:tc>
                <w:tcPr>
                  <w:tcW w:w="386" w:type="pct"/>
                  <w:tcBorders>
                    <w:tl2br w:val="nil"/>
                    <w:tr2bl w:val="nil"/>
                  </w:tcBorders>
                  <w:vAlign w:val="center"/>
                </w:tcPr>
                <w:p w14:paraId="0C51F8DF">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w:t>
                  </w:r>
                </w:p>
              </w:tc>
            </w:tr>
            <w:tr w14:paraId="6A3FE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351" w:type="pct"/>
                  <w:tcBorders>
                    <w:tl2br w:val="nil"/>
                    <w:tr2bl w:val="nil"/>
                  </w:tcBorders>
                  <w:vAlign w:val="center"/>
                </w:tcPr>
                <w:p w14:paraId="15DE33D9">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 xml:space="preserve">古泊善后河（灌云县）清水通道维护区 </w:t>
                  </w:r>
                </w:p>
              </w:tc>
              <w:tc>
                <w:tcPr>
                  <w:tcW w:w="443" w:type="pct"/>
                  <w:tcBorders>
                    <w:tl2br w:val="nil"/>
                    <w:tr2bl w:val="nil"/>
                  </w:tcBorders>
                  <w:vAlign w:val="center"/>
                </w:tcPr>
                <w:p w14:paraId="7FCC9BA4">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 xml:space="preserve">SW </w:t>
                  </w:r>
                </w:p>
              </w:tc>
              <w:tc>
                <w:tcPr>
                  <w:tcW w:w="723" w:type="pct"/>
                  <w:tcBorders>
                    <w:tl2br w:val="nil"/>
                    <w:tr2bl w:val="nil"/>
                  </w:tcBorders>
                  <w:vAlign w:val="center"/>
                </w:tcPr>
                <w:p w14:paraId="0DF4AA25">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 xml:space="preserve">10400 </w:t>
                  </w:r>
                </w:p>
              </w:tc>
              <w:tc>
                <w:tcPr>
                  <w:tcW w:w="1020" w:type="pct"/>
                  <w:tcBorders>
                    <w:tl2br w:val="nil"/>
                    <w:tr2bl w:val="nil"/>
                  </w:tcBorders>
                  <w:vAlign w:val="center"/>
                </w:tcPr>
                <w:p w14:paraId="13123FD5">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总面积16.28km</w:t>
                  </w:r>
                  <w:r>
                    <w:rPr>
                      <w:rFonts w:hint="eastAsia" w:eastAsia="仿宋"/>
                      <w:b w:val="0"/>
                      <w:bCs/>
                      <w:color w:val="auto"/>
                      <w:sz w:val="21"/>
                      <w:szCs w:val="21"/>
                      <w:highlight w:val="none"/>
                      <w:vertAlign w:val="superscript"/>
                      <w:lang w:val="en-US" w:eastAsia="zh-CN"/>
                    </w:rPr>
                    <w:t>2</w:t>
                  </w:r>
                  <w:r>
                    <w:rPr>
                      <w:rFonts w:eastAsia="仿宋"/>
                      <w:b w:val="0"/>
                      <w:bCs/>
                      <w:color w:val="auto"/>
                      <w:sz w:val="21"/>
                      <w:szCs w:val="21"/>
                      <w:highlight w:val="none"/>
                      <w:lang w:val="en-US" w:eastAsia="zh-CN"/>
                    </w:rPr>
                    <w:t xml:space="preserve"> </w:t>
                  </w:r>
                </w:p>
              </w:tc>
              <w:tc>
                <w:tcPr>
                  <w:tcW w:w="1074" w:type="pct"/>
                  <w:tcBorders>
                    <w:tl2br w:val="nil"/>
                    <w:tr2bl w:val="nil"/>
                  </w:tcBorders>
                  <w:vAlign w:val="center"/>
                </w:tcPr>
                <w:p w14:paraId="07A1DABB">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 xml:space="preserve">水源水质保护区 </w:t>
                  </w:r>
                </w:p>
              </w:tc>
              <w:tc>
                <w:tcPr>
                  <w:tcW w:w="386" w:type="pct"/>
                  <w:tcBorders>
                    <w:tl2br w:val="nil"/>
                    <w:tr2bl w:val="nil"/>
                  </w:tcBorders>
                  <w:vAlign w:val="center"/>
                </w:tcPr>
                <w:p w14:paraId="44EE50A5">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w:t>
                  </w:r>
                </w:p>
              </w:tc>
            </w:tr>
            <w:tr w14:paraId="6B0FF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351" w:type="pct"/>
                  <w:tcBorders>
                    <w:tl2br w:val="nil"/>
                    <w:tr2bl w:val="nil"/>
                  </w:tcBorders>
                  <w:vAlign w:val="center"/>
                </w:tcPr>
                <w:p w14:paraId="5438D29D">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 xml:space="preserve">徐圩新区集中式饮用水水源保护区 </w:t>
                  </w:r>
                </w:p>
              </w:tc>
              <w:tc>
                <w:tcPr>
                  <w:tcW w:w="443" w:type="pct"/>
                  <w:tcBorders>
                    <w:tl2br w:val="nil"/>
                    <w:tr2bl w:val="nil"/>
                  </w:tcBorders>
                  <w:vAlign w:val="center"/>
                </w:tcPr>
                <w:p w14:paraId="37E9E8D4">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 xml:space="preserve">SW </w:t>
                  </w:r>
                </w:p>
              </w:tc>
              <w:tc>
                <w:tcPr>
                  <w:tcW w:w="723" w:type="pct"/>
                  <w:tcBorders>
                    <w:tl2br w:val="nil"/>
                    <w:tr2bl w:val="nil"/>
                  </w:tcBorders>
                  <w:vAlign w:val="center"/>
                </w:tcPr>
                <w:p w14:paraId="589ED197">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 xml:space="preserve">14100 </w:t>
                  </w:r>
                </w:p>
              </w:tc>
              <w:tc>
                <w:tcPr>
                  <w:tcW w:w="1020" w:type="pct"/>
                  <w:tcBorders>
                    <w:tl2br w:val="nil"/>
                    <w:tr2bl w:val="nil"/>
                  </w:tcBorders>
                  <w:vAlign w:val="center"/>
                </w:tcPr>
                <w:p w14:paraId="6C948B76">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总面积3.28km</w:t>
                  </w:r>
                  <w:r>
                    <w:rPr>
                      <w:rFonts w:hint="eastAsia" w:eastAsia="仿宋"/>
                      <w:b w:val="0"/>
                      <w:bCs/>
                      <w:color w:val="auto"/>
                      <w:sz w:val="21"/>
                      <w:szCs w:val="21"/>
                      <w:highlight w:val="none"/>
                      <w:vertAlign w:val="superscript"/>
                      <w:lang w:val="en-US" w:eastAsia="zh-CN"/>
                    </w:rPr>
                    <w:t>2</w:t>
                  </w:r>
                  <w:r>
                    <w:rPr>
                      <w:rFonts w:eastAsia="仿宋"/>
                      <w:b w:val="0"/>
                      <w:bCs/>
                      <w:color w:val="auto"/>
                      <w:sz w:val="21"/>
                      <w:szCs w:val="21"/>
                      <w:highlight w:val="none"/>
                      <w:lang w:val="en-US" w:eastAsia="zh-CN"/>
                    </w:rPr>
                    <w:t xml:space="preserve"> </w:t>
                  </w:r>
                </w:p>
              </w:tc>
              <w:tc>
                <w:tcPr>
                  <w:tcW w:w="1074" w:type="pct"/>
                  <w:tcBorders>
                    <w:tl2br w:val="nil"/>
                    <w:tr2bl w:val="nil"/>
                  </w:tcBorders>
                  <w:vAlign w:val="center"/>
                </w:tcPr>
                <w:p w14:paraId="263BD364">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 xml:space="preserve">水源水质保护区 </w:t>
                  </w:r>
                </w:p>
              </w:tc>
              <w:tc>
                <w:tcPr>
                  <w:tcW w:w="386" w:type="pct"/>
                  <w:tcBorders>
                    <w:tl2br w:val="nil"/>
                    <w:tr2bl w:val="nil"/>
                  </w:tcBorders>
                  <w:vAlign w:val="center"/>
                </w:tcPr>
                <w:p w14:paraId="18433AE9">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w:t>
                  </w:r>
                </w:p>
              </w:tc>
            </w:tr>
            <w:tr w14:paraId="36B5F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351" w:type="pct"/>
                  <w:tcBorders>
                    <w:tl2br w:val="nil"/>
                    <w:tr2bl w:val="nil"/>
                  </w:tcBorders>
                  <w:vAlign w:val="center"/>
                </w:tcPr>
                <w:p w14:paraId="0E98D27C">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 xml:space="preserve">埒子口重要湿地 </w:t>
                  </w:r>
                </w:p>
              </w:tc>
              <w:tc>
                <w:tcPr>
                  <w:tcW w:w="443" w:type="pct"/>
                  <w:tcBorders>
                    <w:tl2br w:val="nil"/>
                    <w:tr2bl w:val="nil"/>
                  </w:tcBorders>
                  <w:vAlign w:val="center"/>
                </w:tcPr>
                <w:p w14:paraId="0A0EC621">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 xml:space="preserve">SW </w:t>
                  </w:r>
                </w:p>
              </w:tc>
              <w:tc>
                <w:tcPr>
                  <w:tcW w:w="723" w:type="pct"/>
                  <w:tcBorders>
                    <w:tl2br w:val="nil"/>
                    <w:tr2bl w:val="nil"/>
                  </w:tcBorders>
                  <w:vAlign w:val="center"/>
                </w:tcPr>
                <w:p w14:paraId="6101A938">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 xml:space="preserve">5000 </w:t>
                  </w:r>
                </w:p>
              </w:tc>
              <w:tc>
                <w:tcPr>
                  <w:tcW w:w="1020" w:type="pct"/>
                  <w:tcBorders>
                    <w:tl2br w:val="nil"/>
                    <w:tr2bl w:val="nil"/>
                  </w:tcBorders>
                  <w:vAlign w:val="center"/>
                </w:tcPr>
                <w:p w14:paraId="291D43A7">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 xml:space="preserve">/ </w:t>
                  </w:r>
                </w:p>
              </w:tc>
              <w:tc>
                <w:tcPr>
                  <w:tcW w:w="1074" w:type="pct"/>
                  <w:tcBorders>
                    <w:tl2br w:val="nil"/>
                    <w:tr2bl w:val="nil"/>
                  </w:tcBorders>
                  <w:vAlign w:val="center"/>
                </w:tcPr>
                <w:p w14:paraId="5CA899BB">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 xml:space="preserve">重要湿地 </w:t>
                  </w:r>
                </w:p>
              </w:tc>
              <w:tc>
                <w:tcPr>
                  <w:tcW w:w="386" w:type="pct"/>
                  <w:tcBorders>
                    <w:tl2br w:val="nil"/>
                    <w:tr2bl w:val="nil"/>
                  </w:tcBorders>
                  <w:vAlign w:val="center"/>
                </w:tcPr>
                <w:p w14:paraId="490D3D7B">
                  <w:pPr>
                    <w:snapToGrid w:val="0"/>
                    <w:spacing w:line="240" w:lineRule="atLeast"/>
                    <w:jc w:val="center"/>
                    <w:rPr>
                      <w:rFonts w:eastAsia="仿宋"/>
                      <w:b w:val="0"/>
                      <w:bCs/>
                      <w:color w:val="auto"/>
                      <w:sz w:val="21"/>
                      <w:szCs w:val="21"/>
                      <w:highlight w:val="none"/>
                    </w:rPr>
                  </w:pPr>
                  <w:r>
                    <w:rPr>
                      <w:rFonts w:eastAsia="仿宋"/>
                      <w:b w:val="0"/>
                      <w:bCs/>
                      <w:color w:val="auto"/>
                      <w:sz w:val="21"/>
                      <w:szCs w:val="21"/>
                      <w:highlight w:val="none"/>
                      <w:lang w:val="en-US" w:eastAsia="zh-CN"/>
                    </w:rPr>
                    <w:t>/</w:t>
                  </w:r>
                </w:p>
              </w:tc>
            </w:tr>
          </w:tbl>
          <w:p w14:paraId="637A33E0">
            <w:pPr>
              <w:spacing w:line="360" w:lineRule="auto"/>
              <w:ind w:firstLine="480" w:firstLineChars="200"/>
              <w:rPr>
                <w:rFonts w:eastAsia="仿宋"/>
                <w:color w:val="auto"/>
              </w:rPr>
            </w:pPr>
          </w:p>
        </w:tc>
      </w:tr>
      <w:tr w14:paraId="6AB10EC7">
        <w:tblPrEx>
          <w:tblCellMar>
            <w:top w:w="0" w:type="dxa"/>
            <w:left w:w="0" w:type="dxa"/>
            <w:bottom w:w="0" w:type="dxa"/>
            <w:right w:w="0" w:type="dxa"/>
          </w:tblCellMar>
        </w:tblPrEx>
        <w:trPr>
          <w:trHeight w:val="567" w:hRule="atLeast"/>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05DC84A4">
            <w:pPr>
              <w:pStyle w:val="14"/>
              <w:kinsoku w:val="0"/>
              <w:overflowPunct w:val="0"/>
              <w:jc w:val="center"/>
              <w:rPr>
                <w:rFonts w:eastAsia="仿宋"/>
                <w:color w:val="auto"/>
              </w:rPr>
            </w:pPr>
            <w:r>
              <w:rPr>
                <w:rFonts w:eastAsia="仿宋"/>
                <w:color w:val="auto"/>
              </w:rPr>
              <w:t>调查</w:t>
            </w:r>
          </w:p>
          <w:p w14:paraId="5D782DC5">
            <w:pPr>
              <w:pStyle w:val="14"/>
              <w:kinsoku w:val="0"/>
              <w:overflowPunct w:val="0"/>
              <w:jc w:val="center"/>
              <w:rPr>
                <w:rFonts w:eastAsia="仿宋"/>
                <w:color w:val="auto"/>
              </w:rPr>
            </w:pPr>
            <w:r>
              <w:rPr>
                <w:rFonts w:eastAsia="仿宋"/>
                <w:color w:val="auto"/>
              </w:rPr>
              <w:t>重点</w:t>
            </w:r>
          </w:p>
        </w:tc>
        <w:tc>
          <w:tcPr>
            <w:tcW w:w="8632" w:type="dxa"/>
            <w:tcBorders>
              <w:top w:val="single" w:color="000000" w:sz="4" w:space="0"/>
              <w:left w:val="single" w:color="000000" w:sz="4" w:space="0"/>
              <w:bottom w:val="single" w:color="000000" w:sz="4" w:space="0"/>
              <w:right w:val="single" w:color="000000" w:sz="4" w:space="0"/>
            </w:tcBorders>
            <w:vAlign w:val="center"/>
          </w:tcPr>
          <w:p w14:paraId="45E03EFB">
            <w:pPr>
              <w:adjustRightInd/>
              <w:spacing w:line="500" w:lineRule="exact"/>
              <w:ind w:firstLine="480" w:firstLineChars="200"/>
              <w:jc w:val="both"/>
              <w:rPr>
                <w:rFonts w:eastAsia="仿宋"/>
                <w:color w:val="auto"/>
              </w:rPr>
            </w:pPr>
            <w:r>
              <w:rPr>
                <w:rFonts w:eastAsia="仿宋"/>
                <w:color w:val="auto"/>
              </w:rPr>
              <w:t>根据《建设项目竣工环境保护验收技术规范生态影响类》</w:t>
            </w:r>
            <w:r>
              <w:rPr>
                <w:rFonts w:hint="eastAsia" w:eastAsia="仿宋"/>
                <w:color w:val="auto"/>
              </w:rPr>
              <w:t>（</w:t>
            </w:r>
            <w:r>
              <w:rPr>
                <w:rFonts w:eastAsia="仿宋"/>
                <w:color w:val="auto"/>
              </w:rPr>
              <w:t>HJ/T394-2007</w:t>
            </w:r>
            <w:r>
              <w:rPr>
                <w:rFonts w:hint="eastAsia" w:eastAsia="仿宋"/>
                <w:color w:val="auto"/>
              </w:rPr>
              <w:t>）</w:t>
            </w:r>
            <w:r>
              <w:rPr>
                <w:rFonts w:eastAsia="仿宋"/>
                <w:color w:val="auto"/>
              </w:rPr>
              <w:t>中的相关要求，结合本工程特点，确定本次验收调查重点如下：</w:t>
            </w:r>
          </w:p>
          <w:p w14:paraId="62AF2EFD">
            <w:pPr>
              <w:adjustRightInd/>
              <w:spacing w:line="500" w:lineRule="exact"/>
              <w:ind w:firstLine="480" w:firstLineChars="200"/>
              <w:jc w:val="both"/>
              <w:rPr>
                <w:rFonts w:eastAsia="仿宋"/>
                <w:color w:val="auto"/>
              </w:rPr>
            </w:pPr>
            <w:r>
              <w:rPr>
                <w:rFonts w:hint="eastAsia" w:eastAsia="仿宋"/>
                <w:color w:val="auto"/>
              </w:rPr>
              <w:t>（1）</w:t>
            </w:r>
            <w:r>
              <w:rPr>
                <w:rFonts w:eastAsia="仿宋"/>
                <w:color w:val="auto"/>
              </w:rPr>
              <w:t>核查实际工程内容及方案设计变更情况；</w:t>
            </w:r>
          </w:p>
          <w:p w14:paraId="2A8B8E54">
            <w:pPr>
              <w:adjustRightInd/>
              <w:spacing w:line="500" w:lineRule="exact"/>
              <w:ind w:firstLine="480" w:firstLineChars="200"/>
              <w:jc w:val="both"/>
              <w:rPr>
                <w:rFonts w:eastAsia="仿宋"/>
                <w:color w:val="auto"/>
              </w:rPr>
            </w:pPr>
            <w:r>
              <w:rPr>
                <w:rFonts w:hint="eastAsia" w:eastAsia="仿宋"/>
                <w:color w:val="auto"/>
              </w:rPr>
              <w:t>（2）</w:t>
            </w:r>
            <w:r>
              <w:rPr>
                <w:rFonts w:eastAsia="仿宋"/>
                <w:color w:val="auto"/>
              </w:rPr>
              <w:t>环境敏感保护目标基本情况及变更情况；</w:t>
            </w:r>
          </w:p>
          <w:p w14:paraId="4AF0FF08">
            <w:pPr>
              <w:adjustRightInd/>
              <w:spacing w:line="500" w:lineRule="exact"/>
              <w:ind w:firstLine="480" w:firstLineChars="200"/>
              <w:jc w:val="both"/>
              <w:rPr>
                <w:rFonts w:eastAsia="仿宋"/>
                <w:color w:val="auto"/>
              </w:rPr>
            </w:pPr>
            <w:r>
              <w:rPr>
                <w:rFonts w:hint="eastAsia" w:eastAsia="仿宋"/>
                <w:color w:val="auto"/>
              </w:rPr>
              <w:t>（3）</w:t>
            </w:r>
            <w:r>
              <w:rPr>
                <w:rFonts w:eastAsia="仿宋"/>
                <w:color w:val="auto"/>
              </w:rPr>
              <w:t>实际工程内容及方案设计变更造成的环境影响变化情况；</w:t>
            </w:r>
          </w:p>
          <w:p w14:paraId="131F7542">
            <w:pPr>
              <w:adjustRightInd/>
              <w:spacing w:line="500" w:lineRule="exact"/>
              <w:ind w:firstLine="480" w:firstLineChars="200"/>
              <w:jc w:val="both"/>
              <w:rPr>
                <w:rFonts w:eastAsia="仿宋"/>
                <w:color w:val="auto"/>
              </w:rPr>
            </w:pPr>
            <w:r>
              <w:rPr>
                <w:rFonts w:hint="eastAsia" w:eastAsia="仿宋"/>
                <w:color w:val="auto"/>
              </w:rPr>
              <w:t>（4）</w:t>
            </w:r>
            <w:r>
              <w:rPr>
                <w:rFonts w:eastAsia="仿宋"/>
                <w:color w:val="auto"/>
              </w:rPr>
              <w:t>环境保护设计文件、环境影响评价文件及环境影响审批文件中提出的环境保护措施落实情况及其效果；</w:t>
            </w:r>
          </w:p>
          <w:p w14:paraId="4DA26851">
            <w:pPr>
              <w:adjustRightInd/>
              <w:spacing w:line="500" w:lineRule="exact"/>
              <w:ind w:firstLine="480" w:firstLineChars="200"/>
              <w:jc w:val="both"/>
              <w:rPr>
                <w:rFonts w:eastAsia="仿宋"/>
                <w:color w:val="auto"/>
              </w:rPr>
            </w:pPr>
            <w:r>
              <w:rPr>
                <w:rFonts w:hint="eastAsia" w:eastAsia="仿宋"/>
                <w:color w:val="auto"/>
              </w:rPr>
              <w:t>（5）</w:t>
            </w:r>
            <w:r>
              <w:rPr>
                <w:rFonts w:eastAsia="仿宋"/>
                <w:color w:val="auto"/>
              </w:rPr>
              <w:t>工程施工期实际</w:t>
            </w:r>
            <w:r>
              <w:rPr>
                <w:rFonts w:hint="eastAsia" w:eastAsia="仿宋"/>
                <w:color w:val="auto"/>
              </w:rPr>
              <w:t>对生态的影响问题；</w:t>
            </w:r>
          </w:p>
          <w:p w14:paraId="48B39B40">
            <w:pPr>
              <w:adjustRightInd/>
              <w:spacing w:line="500" w:lineRule="exact"/>
              <w:ind w:firstLine="480" w:firstLineChars="200"/>
              <w:jc w:val="both"/>
              <w:rPr>
                <w:rFonts w:hint="eastAsia" w:eastAsia="仿宋"/>
                <w:color w:val="auto"/>
              </w:rPr>
            </w:pPr>
            <w:r>
              <w:rPr>
                <w:rFonts w:hint="eastAsia" w:eastAsia="仿宋"/>
                <w:color w:val="auto"/>
              </w:rPr>
              <w:t>（6）</w:t>
            </w:r>
            <w:r>
              <w:rPr>
                <w:rFonts w:eastAsia="仿宋"/>
                <w:color w:val="auto"/>
              </w:rPr>
              <w:t>工程施工期实际存在的及公众反映强烈的环境问题</w:t>
            </w:r>
            <w:r>
              <w:rPr>
                <w:rFonts w:hint="eastAsia" w:eastAsia="仿宋"/>
                <w:color w:val="auto"/>
              </w:rPr>
              <w:t>。</w:t>
            </w:r>
          </w:p>
          <w:p w14:paraId="5F9D9BCA">
            <w:pPr>
              <w:pStyle w:val="2"/>
              <w:rPr>
                <w:rFonts w:hint="eastAsia" w:eastAsia="仿宋"/>
                <w:color w:val="auto"/>
              </w:rPr>
            </w:pPr>
          </w:p>
          <w:p w14:paraId="77BD1BD2">
            <w:pPr>
              <w:rPr>
                <w:rFonts w:hint="eastAsia" w:eastAsia="仿宋"/>
                <w:color w:val="auto"/>
              </w:rPr>
            </w:pPr>
          </w:p>
          <w:p w14:paraId="36A5EBD9">
            <w:pPr>
              <w:pStyle w:val="2"/>
              <w:rPr>
                <w:rFonts w:hint="eastAsia" w:eastAsia="仿宋"/>
                <w:color w:val="auto"/>
              </w:rPr>
            </w:pPr>
          </w:p>
          <w:p w14:paraId="0A5D12CB">
            <w:pPr>
              <w:rPr>
                <w:rFonts w:hint="eastAsia" w:eastAsia="仿宋"/>
                <w:color w:val="auto"/>
              </w:rPr>
            </w:pPr>
          </w:p>
          <w:p w14:paraId="7DE11E67">
            <w:pPr>
              <w:pStyle w:val="2"/>
              <w:rPr>
                <w:rFonts w:hint="eastAsia" w:eastAsia="仿宋"/>
                <w:color w:val="auto"/>
              </w:rPr>
            </w:pPr>
          </w:p>
          <w:p w14:paraId="75553FA6">
            <w:pPr>
              <w:rPr>
                <w:rFonts w:hint="eastAsia" w:eastAsia="仿宋"/>
                <w:color w:val="auto"/>
              </w:rPr>
            </w:pPr>
          </w:p>
          <w:p w14:paraId="21F0AC84">
            <w:pPr>
              <w:pStyle w:val="2"/>
              <w:rPr>
                <w:rFonts w:hint="eastAsia" w:eastAsia="仿宋"/>
                <w:color w:val="auto"/>
              </w:rPr>
            </w:pPr>
          </w:p>
          <w:p w14:paraId="3883FA41">
            <w:pPr>
              <w:rPr>
                <w:rFonts w:hint="eastAsia" w:eastAsia="仿宋"/>
                <w:color w:val="auto"/>
              </w:rPr>
            </w:pPr>
          </w:p>
          <w:p w14:paraId="6C2DE428">
            <w:pPr>
              <w:pStyle w:val="2"/>
              <w:rPr>
                <w:rFonts w:hint="eastAsia" w:eastAsia="仿宋"/>
                <w:color w:val="auto"/>
              </w:rPr>
            </w:pPr>
          </w:p>
          <w:p w14:paraId="3BAD5732">
            <w:pPr>
              <w:rPr>
                <w:rFonts w:hint="eastAsia" w:eastAsia="仿宋"/>
                <w:color w:val="auto"/>
              </w:rPr>
            </w:pPr>
          </w:p>
          <w:p w14:paraId="0AE009FC">
            <w:pPr>
              <w:pStyle w:val="2"/>
              <w:rPr>
                <w:rFonts w:hint="eastAsia" w:eastAsia="仿宋"/>
                <w:color w:val="auto"/>
              </w:rPr>
            </w:pPr>
          </w:p>
          <w:p w14:paraId="72D4B2DE">
            <w:pPr>
              <w:rPr>
                <w:rFonts w:hint="eastAsia" w:eastAsia="仿宋"/>
                <w:color w:val="auto"/>
              </w:rPr>
            </w:pPr>
          </w:p>
          <w:p w14:paraId="28510318">
            <w:pPr>
              <w:pStyle w:val="2"/>
              <w:rPr>
                <w:rFonts w:hint="eastAsia" w:eastAsia="仿宋"/>
                <w:color w:val="auto"/>
              </w:rPr>
            </w:pPr>
          </w:p>
          <w:p w14:paraId="165B1DE7">
            <w:pPr>
              <w:rPr>
                <w:rFonts w:hint="eastAsia" w:eastAsia="仿宋"/>
                <w:color w:val="auto"/>
              </w:rPr>
            </w:pPr>
          </w:p>
          <w:p w14:paraId="6305A7B1">
            <w:pPr>
              <w:pStyle w:val="2"/>
              <w:rPr>
                <w:rFonts w:hint="eastAsia" w:eastAsia="仿宋"/>
                <w:color w:val="auto"/>
              </w:rPr>
            </w:pPr>
          </w:p>
          <w:p w14:paraId="6101B100">
            <w:pPr>
              <w:rPr>
                <w:rFonts w:hint="eastAsia" w:eastAsia="仿宋"/>
                <w:color w:val="auto"/>
              </w:rPr>
            </w:pPr>
          </w:p>
          <w:p w14:paraId="2B028E4F">
            <w:pPr>
              <w:pStyle w:val="2"/>
            </w:pPr>
          </w:p>
        </w:tc>
      </w:tr>
    </w:tbl>
    <w:p w14:paraId="5BA32D9B">
      <w:pPr>
        <w:rPr>
          <w:rFonts w:eastAsia="黑体"/>
          <w:color w:val="auto"/>
          <w:sz w:val="22"/>
        </w:rPr>
      </w:pPr>
      <w:r>
        <w:rPr>
          <w:rFonts w:eastAsia="黑体"/>
          <w:color w:val="auto"/>
          <w:sz w:val="22"/>
        </w:rPr>
        <w:br w:type="page"/>
      </w:r>
    </w:p>
    <w:p w14:paraId="4CF26C32">
      <w:pPr>
        <w:pStyle w:val="4"/>
        <w:kinsoku w:val="0"/>
        <w:overflowPunct w:val="0"/>
        <w:spacing w:before="168"/>
        <w:ind w:left="0" w:right="255"/>
        <w:outlineLvl w:val="0"/>
        <w:rPr>
          <w:rFonts w:ascii="Times New Roman" w:eastAsia="仿宋" w:cs="Times New Roman"/>
          <w:b/>
          <w:bCs/>
          <w:color w:val="auto"/>
          <w:sz w:val="24"/>
          <w:szCs w:val="24"/>
        </w:rPr>
      </w:pPr>
      <w:r>
        <w:rPr>
          <w:rFonts w:ascii="Times New Roman" w:eastAsia="仿宋" w:cs="Times New Roman"/>
          <w:b/>
          <w:bCs/>
          <w:color w:val="auto"/>
          <w:sz w:val="24"/>
          <w:szCs w:val="24"/>
        </w:rPr>
        <w:t>表3  验收执行标准</w:t>
      </w:r>
    </w:p>
    <w:tbl>
      <w:tblPr>
        <w:tblStyle w:val="7"/>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95"/>
        <w:gridCol w:w="8276"/>
      </w:tblGrid>
      <w:tr w14:paraId="5817C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31" w:hRule="atLeast"/>
          <w:jc w:val="center"/>
        </w:trPr>
        <w:tc>
          <w:tcPr>
            <w:tcW w:w="795" w:type="dxa"/>
            <w:vAlign w:val="center"/>
          </w:tcPr>
          <w:p w14:paraId="5116B151">
            <w:pPr>
              <w:pStyle w:val="14"/>
              <w:kinsoku w:val="0"/>
              <w:overflowPunct w:val="0"/>
              <w:spacing w:before="74"/>
              <w:ind w:left="102"/>
              <w:rPr>
                <w:rFonts w:eastAsia="仿宋"/>
                <w:color w:val="auto"/>
              </w:rPr>
            </w:pPr>
            <w:r>
              <w:rPr>
                <w:rFonts w:eastAsia="仿宋"/>
                <w:color w:val="auto"/>
              </w:rPr>
              <w:t>污染</w:t>
            </w:r>
          </w:p>
          <w:p w14:paraId="7A7D24B1">
            <w:pPr>
              <w:pStyle w:val="14"/>
              <w:kinsoku w:val="0"/>
              <w:overflowPunct w:val="0"/>
              <w:spacing w:before="74"/>
              <w:ind w:left="102"/>
              <w:rPr>
                <w:rFonts w:eastAsia="仿宋"/>
                <w:color w:val="auto"/>
              </w:rPr>
            </w:pPr>
            <w:r>
              <w:rPr>
                <w:rFonts w:eastAsia="仿宋"/>
                <w:color w:val="auto"/>
              </w:rPr>
              <w:t>物排</w:t>
            </w:r>
          </w:p>
          <w:p w14:paraId="072A048E">
            <w:pPr>
              <w:pStyle w:val="14"/>
              <w:kinsoku w:val="0"/>
              <w:overflowPunct w:val="0"/>
              <w:spacing w:before="74"/>
              <w:ind w:left="102"/>
              <w:rPr>
                <w:rFonts w:eastAsia="仿宋"/>
                <w:color w:val="auto"/>
              </w:rPr>
            </w:pPr>
            <w:r>
              <w:rPr>
                <w:rFonts w:eastAsia="仿宋"/>
                <w:color w:val="auto"/>
              </w:rPr>
              <w:t>放标</w:t>
            </w:r>
          </w:p>
          <w:p w14:paraId="3776B95D">
            <w:pPr>
              <w:pStyle w:val="14"/>
              <w:kinsoku w:val="0"/>
              <w:overflowPunct w:val="0"/>
              <w:spacing w:before="74"/>
              <w:ind w:left="102"/>
              <w:rPr>
                <w:rFonts w:eastAsia="仿宋"/>
                <w:color w:val="auto"/>
              </w:rPr>
            </w:pPr>
            <w:r>
              <w:rPr>
                <w:rFonts w:eastAsia="仿宋"/>
                <w:color w:val="auto"/>
              </w:rPr>
              <w:t>准</w:t>
            </w:r>
          </w:p>
        </w:tc>
        <w:tc>
          <w:tcPr>
            <w:tcW w:w="8276" w:type="dxa"/>
            <w:vAlign w:val="center"/>
          </w:tcPr>
          <w:p w14:paraId="75E57E04">
            <w:pPr>
              <w:adjustRightInd/>
              <w:spacing w:line="500" w:lineRule="exact"/>
              <w:ind w:firstLine="482" w:firstLineChars="200"/>
              <w:jc w:val="both"/>
              <w:rPr>
                <w:rFonts w:eastAsia="仿宋"/>
                <w:b/>
                <w:bCs/>
                <w:color w:val="auto"/>
              </w:rPr>
            </w:pPr>
            <w:r>
              <w:rPr>
                <w:rFonts w:hint="eastAsia" w:eastAsia="仿宋"/>
                <w:b/>
                <w:bCs/>
                <w:color w:val="auto"/>
              </w:rPr>
              <w:t>1、废气污染物排放标准</w:t>
            </w:r>
          </w:p>
          <w:p w14:paraId="276EBBA8">
            <w:pPr>
              <w:adjustRightInd/>
              <w:spacing w:line="500" w:lineRule="exact"/>
              <w:ind w:firstLine="480" w:firstLineChars="200"/>
              <w:jc w:val="both"/>
              <w:rPr>
                <w:rFonts w:eastAsia="仿宋"/>
                <w:color w:val="auto"/>
              </w:rPr>
            </w:pPr>
            <w:r>
              <w:rPr>
                <w:rFonts w:eastAsia="仿宋"/>
                <w:color w:val="auto"/>
              </w:rPr>
              <w:t>本项目施工期扬尘执行江苏省《施工场地扬尘排放标准》（DB32/4437-2022）表1施工场地扬尘排放浓度限值要求，具体见表</w:t>
            </w:r>
            <w:r>
              <w:rPr>
                <w:rFonts w:hint="eastAsia" w:eastAsia="仿宋"/>
                <w:color w:val="auto"/>
              </w:rPr>
              <w:t>3-1</w:t>
            </w:r>
            <w:r>
              <w:rPr>
                <w:rFonts w:eastAsia="仿宋"/>
                <w:color w:val="auto"/>
              </w:rPr>
              <w:t>。</w:t>
            </w:r>
          </w:p>
          <w:p w14:paraId="207CAA49">
            <w:pPr>
              <w:pStyle w:val="14"/>
              <w:kinsoku w:val="0"/>
              <w:overflowPunct w:val="0"/>
              <w:spacing w:line="500" w:lineRule="exact"/>
              <w:ind w:firstLine="211" w:firstLineChars="100"/>
              <w:jc w:val="center"/>
              <w:rPr>
                <w:rFonts w:eastAsia="仿宋"/>
                <w:b/>
                <w:bCs/>
                <w:color w:val="auto"/>
                <w:sz w:val="21"/>
                <w:szCs w:val="21"/>
              </w:rPr>
            </w:pPr>
            <w:r>
              <w:rPr>
                <w:rFonts w:eastAsia="仿宋"/>
                <w:b/>
                <w:bCs/>
                <w:color w:val="auto"/>
                <w:sz w:val="21"/>
                <w:szCs w:val="21"/>
              </w:rPr>
              <w:t>表</w:t>
            </w:r>
            <w:r>
              <w:rPr>
                <w:rFonts w:hint="eastAsia" w:eastAsia="仿宋"/>
                <w:b/>
                <w:bCs/>
                <w:color w:val="auto"/>
                <w:sz w:val="21"/>
                <w:szCs w:val="21"/>
              </w:rPr>
              <w:t>3-1</w:t>
            </w:r>
            <w:r>
              <w:rPr>
                <w:rFonts w:eastAsia="仿宋"/>
                <w:b/>
                <w:bCs/>
                <w:color w:val="auto"/>
                <w:sz w:val="21"/>
                <w:szCs w:val="21"/>
              </w:rPr>
              <w:t xml:space="preserve"> </w:t>
            </w:r>
            <w:r>
              <w:rPr>
                <w:rFonts w:hint="eastAsia" w:eastAsia="仿宋"/>
                <w:b/>
                <w:bCs/>
                <w:color w:val="auto"/>
                <w:sz w:val="21"/>
                <w:szCs w:val="21"/>
              </w:rPr>
              <w:t>施工扬尘</w:t>
            </w:r>
            <w:r>
              <w:rPr>
                <w:rFonts w:eastAsia="仿宋"/>
                <w:b/>
                <w:bCs/>
                <w:color w:val="auto"/>
                <w:sz w:val="21"/>
                <w:szCs w:val="21"/>
              </w:rPr>
              <w:t>检测</w:t>
            </w:r>
            <w:r>
              <w:rPr>
                <w:rFonts w:hint="eastAsia" w:eastAsia="仿宋"/>
                <w:b/>
                <w:bCs/>
                <w:color w:val="auto"/>
                <w:sz w:val="21"/>
                <w:szCs w:val="21"/>
              </w:rPr>
              <w:t>标准</w:t>
            </w:r>
            <w:r>
              <w:rPr>
                <w:rFonts w:eastAsia="仿宋"/>
                <w:b/>
                <w:bCs/>
                <w:color w:val="auto"/>
                <w:sz w:val="21"/>
                <w:szCs w:val="21"/>
              </w:rPr>
              <w:t>表</w:t>
            </w:r>
          </w:p>
          <w:tbl>
            <w:tblPr>
              <w:tblStyle w:val="8"/>
              <w:tblW w:w="8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6"/>
              <w:gridCol w:w="3042"/>
              <w:gridCol w:w="2578"/>
            </w:tblGrid>
            <w:tr w14:paraId="76B6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512" w:type="pct"/>
                  <w:vAlign w:val="center"/>
                </w:tcPr>
                <w:p w14:paraId="55B0CD45">
                  <w:pPr>
                    <w:pStyle w:val="14"/>
                    <w:kinsoku w:val="0"/>
                    <w:overflowPunct w:val="0"/>
                    <w:spacing w:line="300" w:lineRule="auto"/>
                    <w:jc w:val="center"/>
                    <w:rPr>
                      <w:rFonts w:eastAsia="仿宋"/>
                      <w:color w:val="auto"/>
                      <w:sz w:val="21"/>
                      <w:szCs w:val="21"/>
                    </w:rPr>
                  </w:pPr>
                  <w:r>
                    <w:rPr>
                      <w:rFonts w:hint="eastAsia" w:eastAsia="仿宋"/>
                      <w:color w:val="auto"/>
                      <w:sz w:val="21"/>
                      <w:szCs w:val="21"/>
                    </w:rPr>
                    <w:t>检测项目</w:t>
                  </w:r>
                </w:p>
              </w:tc>
              <w:tc>
                <w:tcPr>
                  <w:tcW w:w="1888" w:type="pct"/>
                  <w:vAlign w:val="center"/>
                </w:tcPr>
                <w:p w14:paraId="6C2D64B9">
                  <w:pPr>
                    <w:pStyle w:val="14"/>
                    <w:kinsoku w:val="0"/>
                    <w:overflowPunct w:val="0"/>
                    <w:spacing w:line="300" w:lineRule="auto"/>
                    <w:jc w:val="center"/>
                    <w:rPr>
                      <w:rFonts w:eastAsia="仿宋"/>
                      <w:color w:val="auto"/>
                      <w:sz w:val="21"/>
                      <w:szCs w:val="21"/>
                    </w:rPr>
                  </w:pPr>
                  <w:r>
                    <w:rPr>
                      <w:rFonts w:hint="eastAsia" w:eastAsia="仿宋"/>
                      <w:color w:val="auto"/>
                      <w:sz w:val="21"/>
                      <w:szCs w:val="21"/>
                    </w:rPr>
                    <w:t>标准名称</w:t>
                  </w:r>
                </w:p>
              </w:tc>
              <w:tc>
                <w:tcPr>
                  <w:tcW w:w="1598" w:type="pct"/>
                  <w:vAlign w:val="center"/>
                </w:tcPr>
                <w:p w14:paraId="3BA90F22">
                  <w:pPr>
                    <w:pStyle w:val="14"/>
                    <w:kinsoku w:val="0"/>
                    <w:overflowPunct w:val="0"/>
                    <w:spacing w:line="300" w:lineRule="auto"/>
                    <w:jc w:val="center"/>
                    <w:rPr>
                      <w:rFonts w:eastAsia="仿宋"/>
                      <w:color w:val="auto"/>
                      <w:sz w:val="21"/>
                      <w:szCs w:val="21"/>
                    </w:rPr>
                  </w:pPr>
                  <w:r>
                    <w:rPr>
                      <w:rFonts w:hint="eastAsia" w:eastAsia="仿宋"/>
                      <w:color w:val="auto"/>
                      <w:sz w:val="21"/>
                      <w:szCs w:val="21"/>
                    </w:rPr>
                    <w:t>浓度限值</w:t>
                  </w:r>
                  <w:r>
                    <w:rPr>
                      <w:rFonts w:eastAsia="仿宋"/>
                      <w:color w:val="auto"/>
                      <w:sz w:val="21"/>
                      <w:szCs w:val="21"/>
                    </w:rPr>
                    <w:t>（mg/Nm</w:t>
                  </w:r>
                  <w:r>
                    <w:rPr>
                      <w:rFonts w:eastAsia="仿宋"/>
                      <w:color w:val="auto"/>
                      <w:sz w:val="21"/>
                      <w:szCs w:val="21"/>
                      <w:vertAlign w:val="superscript"/>
                    </w:rPr>
                    <w:t>3</w:t>
                  </w:r>
                  <w:r>
                    <w:rPr>
                      <w:rFonts w:eastAsia="仿宋"/>
                      <w:color w:val="auto"/>
                      <w:sz w:val="21"/>
                      <w:szCs w:val="21"/>
                    </w:rPr>
                    <w:t>）</w:t>
                  </w:r>
                </w:p>
              </w:tc>
            </w:tr>
            <w:tr w14:paraId="257D6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2" w:type="pct"/>
                  <w:vAlign w:val="center"/>
                </w:tcPr>
                <w:p w14:paraId="14211F59">
                  <w:pPr>
                    <w:pStyle w:val="14"/>
                    <w:kinsoku w:val="0"/>
                    <w:overflowPunct w:val="0"/>
                    <w:spacing w:line="300" w:lineRule="auto"/>
                    <w:jc w:val="center"/>
                    <w:rPr>
                      <w:rFonts w:eastAsia="仿宋"/>
                      <w:color w:val="auto"/>
                      <w:sz w:val="21"/>
                      <w:szCs w:val="21"/>
                    </w:rPr>
                  </w:pPr>
                  <w:r>
                    <w:rPr>
                      <w:rFonts w:hint="eastAsia" w:eastAsia="仿宋"/>
                      <w:color w:val="auto"/>
                      <w:sz w:val="21"/>
                      <w:szCs w:val="21"/>
                    </w:rPr>
                    <w:t>TSP</w:t>
                  </w:r>
                  <w:r>
                    <w:rPr>
                      <w:rFonts w:hint="eastAsia" w:eastAsia="仿宋"/>
                      <w:color w:val="auto"/>
                      <w:sz w:val="21"/>
                      <w:szCs w:val="21"/>
                      <w:vertAlign w:val="superscript"/>
                    </w:rPr>
                    <w:t>a</w:t>
                  </w:r>
                </w:p>
              </w:tc>
              <w:tc>
                <w:tcPr>
                  <w:tcW w:w="1888" w:type="pct"/>
                  <w:vMerge w:val="restart"/>
                  <w:vAlign w:val="center"/>
                </w:tcPr>
                <w:p w14:paraId="6BA4526F">
                  <w:pPr>
                    <w:pStyle w:val="16"/>
                    <w:spacing w:before="34" w:line="219" w:lineRule="auto"/>
                    <w:ind w:left="228"/>
                    <w:rPr>
                      <w:rFonts w:hint="eastAsia" w:cs="Times New Roman"/>
                      <w:color w:val="auto"/>
                      <w:sz w:val="21"/>
                      <w:szCs w:val="21"/>
                      <w:lang w:eastAsia="zh-CN"/>
                    </w:rPr>
                  </w:pPr>
                  <w:r>
                    <w:rPr>
                      <w:color w:val="auto"/>
                      <w:spacing w:val="-1"/>
                      <w:sz w:val="21"/>
                      <w:szCs w:val="21"/>
                      <w:lang w:eastAsia="zh-CN"/>
                    </w:rPr>
                    <w:t>《</w:t>
                  </w:r>
                  <w:r>
                    <w:rPr>
                      <w:rFonts w:ascii="Times New Roman" w:hAnsi="Times New Roman" w:cs="Times New Roman"/>
                      <w:color w:val="auto"/>
                      <w:sz w:val="21"/>
                      <w:szCs w:val="21"/>
                      <w:lang w:eastAsia="zh-CN"/>
                    </w:rPr>
                    <w:t>施工场地扬尘排放标准》（DB32/4437-2022）表1</w:t>
                  </w:r>
                </w:p>
              </w:tc>
              <w:tc>
                <w:tcPr>
                  <w:tcW w:w="1598" w:type="pct"/>
                  <w:vAlign w:val="center"/>
                </w:tcPr>
                <w:p w14:paraId="02167293">
                  <w:pPr>
                    <w:pStyle w:val="14"/>
                    <w:kinsoku w:val="0"/>
                    <w:overflowPunct w:val="0"/>
                    <w:spacing w:line="300" w:lineRule="auto"/>
                    <w:jc w:val="center"/>
                    <w:rPr>
                      <w:rFonts w:eastAsia="仿宋"/>
                      <w:color w:val="auto"/>
                      <w:sz w:val="21"/>
                      <w:szCs w:val="21"/>
                    </w:rPr>
                  </w:pPr>
                  <w:r>
                    <w:rPr>
                      <w:rFonts w:hint="eastAsia" w:eastAsia="仿宋"/>
                      <w:color w:val="auto"/>
                      <w:sz w:val="21"/>
                      <w:szCs w:val="21"/>
                    </w:rPr>
                    <w:t>0.5</w:t>
                  </w:r>
                </w:p>
              </w:tc>
            </w:tr>
            <w:tr w14:paraId="7F3DE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2" w:type="pct"/>
                  <w:vAlign w:val="center"/>
                </w:tcPr>
                <w:p w14:paraId="0969912E">
                  <w:pPr>
                    <w:pStyle w:val="14"/>
                    <w:kinsoku w:val="0"/>
                    <w:overflowPunct w:val="0"/>
                    <w:spacing w:line="300" w:lineRule="auto"/>
                    <w:jc w:val="center"/>
                    <w:rPr>
                      <w:rFonts w:eastAsia="仿宋"/>
                      <w:color w:val="auto"/>
                      <w:sz w:val="21"/>
                      <w:szCs w:val="21"/>
                    </w:rPr>
                  </w:pPr>
                  <w:r>
                    <w:rPr>
                      <w:rFonts w:eastAsia="仿宋"/>
                      <w:color w:val="auto"/>
                      <w:sz w:val="21"/>
                      <w:szCs w:val="21"/>
                    </w:rPr>
                    <w:t>PM</w:t>
                  </w:r>
                  <w:r>
                    <w:rPr>
                      <w:rFonts w:eastAsia="仿宋"/>
                      <w:color w:val="auto"/>
                      <w:sz w:val="21"/>
                      <w:szCs w:val="21"/>
                      <w:vertAlign w:val="subscript"/>
                    </w:rPr>
                    <w:t>10</w:t>
                  </w:r>
                  <w:r>
                    <w:rPr>
                      <w:rFonts w:hint="eastAsia" w:eastAsia="仿宋"/>
                      <w:color w:val="auto"/>
                      <w:sz w:val="21"/>
                      <w:szCs w:val="21"/>
                      <w:vertAlign w:val="superscript"/>
                    </w:rPr>
                    <w:t>b</w:t>
                  </w:r>
                </w:p>
              </w:tc>
              <w:tc>
                <w:tcPr>
                  <w:tcW w:w="1888" w:type="pct"/>
                  <w:vMerge w:val="continue"/>
                  <w:vAlign w:val="center"/>
                </w:tcPr>
                <w:p w14:paraId="224896FC">
                  <w:pPr>
                    <w:pStyle w:val="14"/>
                    <w:kinsoku w:val="0"/>
                    <w:overflowPunct w:val="0"/>
                    <w:spacing w:line="300" w:lineRule="auto"/>
                    <w:jc w:val="center"/>
                    <w:rPr>
                      <w:rFonts w:eastAsia="仿宋"/>
                      <w:color w:val="auto"/>
                      <w:sz w:val="21"/>
                      <w:szCs w:val="21"/>
                    </w:rPr>
                  </w:pPr>
                </w:p>
              </w:tc>
              <w:tc>
                <w:tcPr>
                  <w:tcW w:w="1598" w:type="pct"/>
                  <w:vAlign w:val="center"/>
                </w:tcPr>
                <w:p w14:paraId="60F15B46">
                  <w:pPr>
                    <w:pStyle w:val="14"/>
                    <w:kinsoku w:val="0"/>
                    <w:overflowPunct w:val="0"/>
                    <w:spacing w:line="300" w:lineRule="auto"/>
                    <w:jc w:val="center"/>
                    <w:rPr>
                      <w:rFonts w:eastAsia="仿宋"/>
                      <w:color w:val="auto"/>
                      <w:sz w:val="21"/>
                      <w:szCs w:val="21"/>
                    </w:rPr>
                  </w:pPr>
                  <w:r>
                    <w:rPr>
                      <w:rFonts w:hint="eastAsia" w:eastAsia="仿宋"/>
                      <w:color w:val="auto"/>
                      <w:sz w:val="21"/>
                      <w:szCs w:val="21"/>
                    </w:rPr>
                    <w:t>0.08</w:t>
                  </w:r>
                </w:p>
              </w:tc>
            </w:tr>
            <w:tr w14:paraId="505C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vAlign w:val="center"/>
                </w:tcPr>
                <w:p w14:paraId="47F29343">
                  <w:pPr>
                    <w:pStyle w:val="14"/>
                    <w:kinsoku w:val="0"/>
                    <w:overflowPunct w:val="0"/>
                    <w:jc w:val="both"/>
                    <w:rPr>
                      <w:rFonts w:eastAsia="仿宋"/>
                      <w:color w:val="auto"/>
                      <w:sz w:val="21"/>
                      <w:szCs w:val="21"/>
                    </w:rPr>
                  </w:pPr>
                  <w:r>
                    <w:rPr>
                      <w:rFonts w:eastAsia="仿宋"/>
                      <w:color w:val="auto"/>
                      <w:sz w:val="21"/>
                      <w:szCs w:val="21"/>
                    </w:rPr>
                    <w:t>a任一监控点（TSP自动监测）自整时起一次顺延15min的总悬浮颗粒物浓度平均值不应超过的限值。根据HJ633判定设区市AQI在200~300之间且首要污染物为PM</w:t>
                  </w:r>
                  <w:r>
                    <w:rPr>
                      <w:rFonts w:eastAsia="仿宋"/>
                      <w:color w:val="auto"/>
                      <w:sz w:val="21"/>
                      <w:szCs w:val="21"/>
                      <w:vertAlign w:val="subscript"/>
                    </w:rPr>
                    <w:t>10</w:t>
                  </w:r>
                  <w:r>
                    <w:rPr>
                      <w:rFonts w:eastAsia="仿宋"/>
                      <w:color w:val="auto"/>
                      <w:sz w:val="21"/>
                      <w:szCs w:val="21"/>
                    </w:rPr>
                    <w:t>或PM</w:t>
                  </w:r>
                  <w:r>
                    <w:rPr>
                      <w:rFonts w:eastAsia="仿宋"/>
                      <w:color w:val="auto"/>
                      <w:sz w:val="21"/>
                      <w:szCs w:val="21"/>
                      <w:vertAlign w:val="subscript"/>
                    </w:rPr>
                    <w:t>2.5</w:t>
                  </w:r>
                  <w:r>
                    <w:rPr>
                      <w:rFonts w:eastAsia="仿宋"/>
                      <w:color w:val="auto"/>
                      <w:sz w:val="21"/>
                      <w:szCs w:val="21"/>
                    </w:rPr>
                    <w:t>时，TSP实测值扣除0.2mg/m</w:t>
                  </w:r>
                  <w:r>
                    <w:rPr>
                      <w:rFonts w:eastAsia="仿宋"/>
                      <w:color w:val="auto"/>
                      <w:sz w:val="21"/>
                      <w:szCs w:val="21"/>
                      <w:vertAlign w:val="superscript"/>
                    </w:rPr>
                    <w:t>3</w:t>
                  </w:r>
                  <w:r>
                    <w:rPr>
                      <w:rFonts w:eastAsia="仿宋"/>
                      <w:color w:val="auto"/>
                      <w:sz w:val="21"/>
                      <w:szCs w:val="21"/>
                    </w:rPr>
                    <w:t>后再进行评价。</w:t>
                  </w:r>
                </w:p>
                <w:p w14:paraId="18469551">
                  <w:pPr>
                    <w:pStyle w:val="14"/>
                    <w:kinsoku w:val="0"/>
                    <w:overflowPunct w:val="0"/>
                    <w:jc w:val="both"/>
                    <w:rPr>
                      <w:rFonts w:eastAsia="仿宋"/>
                      <w:color w:val="auto"/>
                      <w:sz w:val="21"/>
                      <w:szCs w:val="21"/>
                    </w:rPr>
                  </w:pPr>
                  <w:r>
                    <w:rPr>
                      <w:rFonts w:eastAsia="仿宋"/>
                      <w:color w:val="auto"/>
                      <w:sz w:val="21"/>
                      <w:szCs w:val="21"/>
                    </w:rPr>
                    <w:t>b任一监控点（PM</w:t>
                  </w:r>
                  <w:r>
                    <w:rPr>
                      <w:rFonts w:eastAsia="仿宋"/>
                      <w:color w:val="auto"/>
                      <w:sz w:val="21"/>
                      <w:szCs w:val="21"/>
                      <w:vertAlign w:val="subscript"/>
                    </w:rPr>
                    <w:t>10</w:t>
                  </w:r>
                  <w:r>
                    <w:rPr>
                      <w:rFonts w:eastAsia="仿宋"/>
                      <w:color w:val="auto"/>
                      <w:sz w:val="21"/>
                      <w:szCs w:val="21"/>
                    </w:rPr>
                    <w:t>自动监测）自整时起依次顺延1h的PM</w:t>
                  </w:r>
                  <w:r>
                    <w:rPr>
                      <w:rFonts w:eastAsia="仿宋"/>
                      <w:color w:val="auto"/>
                      <w:sz w:val="21"/>
                      <w:szCs w:val="21"/>
                      <w:vertAlign w:val="subscript"/>
                    </w:rPr>
                    <w:t>10</w:t>
                  </w:r>
                  <w:r>
                    <w:rPr>
                      <w:rFonts w:eastAsia="仿宋"/>
                      <w:color w:val="auto"/>
                      <w:sz w:val="21"/>
                      <w:szCs w:val="21"/>
                    </w:rPr>
                    <w:t>浓度平均值与同时段所属设区市PM</w:t>
                  </w:r>
                  <w:r>
                    <w:rPr>
                      <w:rFonts w:eastAsia="仿宋"/>
                      <w:color w:val="auto"/>
                      <w:sz w:val="21"/>
                      <w:szCs w:val="21"/>
                      <w:vertAlign w:val="subscript"/>
                    </w:rPr>
                    <w:t>10</w:t>
                  </w:r>
                  <w:r>
                    <w:rPr>
                      <w:rFonts w:eastAsia="仿宋"/>
                      <w:color w:val="auto"/>
                      <w:sz w:val="21"/>
                      <w:szCs w:val="21"/>
                    </w:rPr>
                    <w:t>小时平均浓度的差值不应超过的限值。</w:t>
                  </w:r>
                </w:p>
              </w:tc>
            </w:tr>
          </w:tbl>
          <w:p w14:paraId="3E6D38EC">
            <w:pPr>
              <w:adjustRightInd/>
              <w:spacing w:line="500" w:lineRule="exact"/>
              <w:ind w:firstLine="480" w:firstLineChars="200"/>
              <w:jc w:val="both"/>
              <w:rPr>
                <w:rFonts w:eastAsia="仿宋"/>
                <w:color w:val="auto"/>
              </w:rPr>
            </w:pPr>
            <w:r>
              <w:rPr>
                <w:rFonts w:hint="eastAsia" w:eastAsia="仿宋"/>
                <w:color w:val="auto"/>
              </w:rPr>
              <w:t>施工期焊接烟尘和喷漆废气执行《大气污染物综合排放标准》（DB32/4041-2021）表3排放浓度限值要求，具体见表3-2。</w:t>
            </w:r>
          </w:p>
          <w:p w14:paraId="6FC86C1F">
            <w:pPr>
              <w:pStyle w:val="14"/>
              <w:kinsoku w:val="0"/>
              <w:overflowPunct w:val="0"/>
              <w:spacing w:line="500" w:lineRule="exact"/>
              <w:ind w:firstLine="211" w:firstLineChars="100"/>
              <w:jc w:val="center"/>
              <w:rPr>
                <w:rFonts w:eastAsia="仿宋"/>
                <w:b/>
                <w:bCs/>
                <w:color w:val="auto"/>
                <w:sz w:val="21"/>
                <w:szCs w:val="21"/>
              </w:rPr>
            </w:pPr>
            <w:r>
              <w:rPr>
                <w:rFonts w:eastAsia="仿宋"/>
                <w:b/>
                <w:bCs/>
                <w:color w:val="auto"/>
                <w:sz w:val="21"/>
                <w:szCs w:val="21"/>
              </w:rPr>
              <w:t>表</w:t>
            </w:r>
            <w:r>
              <w:rPr>
                <w:rFonts w:hint="eastAsia" w:eastAsia="仿宋"/>
                <w:b/>
                <w:bCs/>
                <w:color w:val="auto"/>
                <w:sz w:val="21"/>
                <w:szCs w:val="21"/>
              </w:rPr>
              <w:t xml:space="preserve">3-2 </w:t>
            </w:r>
            <w:r>
              <w:rPr>
                <w:rFonts w:eastAsia="仿宋"/>
                <w:b/>
                <w:bCs/>
                <w:color w:val="auto"/>
                <w:sz w:val="21"/>
                <w:szCs w:val="21"/>
              </w:rPr>
              <w:t>施工期大气污染物排放标准限值</w:t>
            </w:r>
          </w:p>
          <w:tbl>
            <w:tblPr>
              <w:tblStyle w:val="7"/>
              <w:tblW w:w="80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7"/>
              <w:gridCol w:w="1380"/>
              <w:gridCol w:w="1434"/>
              <w:gridCol w:w="1938"/>
              <w:gridCol w:w="1905"/>
            </w:tblGrid>
            <w:tr w14:paraId="240A5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7" w:type="dxa"/>
                  <w:tcBorders>
                    <w:tl2br w:val="nil"/>
                    <w:tr2bl w:val="nil"/>
                  </w:tcBorders>
                  <w:vAlign w:val="center"/>
                </w:tcPr>
                <w:p w14:paraId="5FC30436">
                  <w:pPr>
                    <w:pStyle w:val="14"/>
                    <w:kinsoku w:val="0"/>
                    <w:overflowPunct w:val="0"/>
                    <w:jc w:val="center"/>
                    <w:rPr>
                      <w:rFonts w:eastAsia="仿宋"/>
                      <w:color w:val="auto"/>
                      <w:sz w:val="21"/>
                      <w:szCs w:val="21"/>
                    </w:rPr>
                  </w:pPr>
                  <w:r>
                    <w:rPr>
                      <w:rFonts w:eastAsia="仿宋"/>
                      <w:color w:val="auto"/>
                      <w:sz w:val="21"/>
                      <w:szCs w:val="21"/>
                    </w:rPr>
                    <w:t xml:space="preserve">污染物 </w:t>
                  </w:r>
                </w:p>
              </w:tc>
              <w:tc>
                <w:tcPr>
                  <w:tcW w:w="1380" w:type="dxa"/>
                  <w:tcBorders>
                    <w:tl2br w:val="nil"/>
                    <w:tr2bl w:val="nil"/>
                  </w:tcBorders>
                  <w:vAlign w:val="center"/>
                </w:tcPr>
                <w:p w14:paraId="1ED6A845">
                  <w:pPr>
                    <w:pStyle w:val="14"/>
                    <w:kinsoku w:val="0"/>
                    <w:overflowPunct w:val="0"/>
                    <w:jc w:val="center"/>
                    <w:rPr>
                      <w:rFonts w:eastAsia="仿宋"/>
                      <w:color w:val="auto"/>
                      <w:sz w:val="21"/>
                      <w:szCs w:val="21"/>
                    </w:rPr>
                  </w:pPr>
                  <w:r>
                    <w:rPr>
                      <w:rFonts w:eastAsia="仿宋"/>
                      <w:color w:val="auto"/>
                      <w:sz w:val="21"/>
                      <w:szCs w:val="21"/>
                    </w:rPr>
                    <w:t xml:space="preserve">监控点位置 </w:t>
                  </w:r>
                </w:p>
              </w:tc>
              <w:tc>
                <w:tcPr>
                  <w:tcW w:w="1434" w:type="dxa"/>
                  <w:tcBorders>
                    <w:tl2br w:val="nil"/>
                    <w:tr2bl w:val="nil"/>
                  </w:tcBorders>
                  <w:vAlign w:val="center"/>
                </w:tcPr>
                <w:p w14:paraId="0FDA4268">
                  <w:pPr>
                    <w:pStyle w:val="14"/>
                    <w:kinsoku w:val="0"/>
                    <w:overflowPunct w:val="0"/>
                    <w:jc w:val="center"/>
                    <w:rPr>
                      <w:rFonts w:eastAsia="仿宋"/>
                      <w:color w:val="auto"/>
                      <w:sz w:val="21"/>
                      <w:szCs w:val="21"/>
                    </w:rPr>
                  </w:pPr>
                  <w:r>
                    <w:rPr>
                      <w:rFonts w:eastAsia="仿宋"/>
                      <w:color w:val="auto"/>
                      <w:sz w:val="21"/>
                      <w:szCs w:val="21"/>
                    </w:rPr>
                    <w:t xml:space="preserve">取值时长 </w:t>
                  </w:r>
                </w:p>
              </w:tc>
              <w:tc>
                <w:tcPr>
                  <w:tcW w:w="1938" w:type="dxa"/>
                  <w:tcBorders>
                    <w:tl2br w:val="nil"/>
                    <w:tr2bl w:val="nil"/>
                  </w:tcBorders>
                  <w:vAlign w:val="center"/>
                </w:tcPr>
                <w:p w14:paraId="28DBF4E4">
                  <w:pPr>
                    <w:pStyle w:val="14"/>
                    <w:kinsoku w:val="0"/>
                    <w:overflowPunct w:val="0"/>
                    <w:jc w:val="center"/>
                    <w:rPr>
                      <w:rFonts w:eastAsia="仿宋"/>
                      <w:color w:val="auto"/>
                      <w:sz w:val="21"/>
                      <w:szCs w:val="21"/>
                    </w:rPr>
                  </w:pPr>
                  <w:r>
                    <w:rPr>
                      <w:rFonts w:eastAsia="仿宋"/>
                      <w:color w:val="auto"/>
                      <w:sz w:val="21"/>
                      <w:szCs w:val="21"/>
                    </w:rPr>
                    <w:t>监控浓度（mg/m</w:t>
                  </w:r>
                  <w:r>
                    <w:rPr>
                      <w:rFonts w:eastAsia="仿宋"/>
                      <w:color w:val="auto"/>
                      <w:sz w:val="21"/>
                      <w:szCs w:val="21"/>
                      <w:vertAlign w:val="superscript"/>
                    </w:rPr>
                    <w:t>3</w:t>
                  </w:r>
                  <w:r>
                    <w:rPr>
                      <w:rFonts w:eastAsia="仿宋"/>
                      <w:color w:val="auto"/>
                      <w:sz w:val="21"/>
                      <w:szCs w:val="21"/>
                    </w:rPr>
                    <w:t xml:space="preserve">） </w:t>
                  </w:r>
                </w:p>
              </w:tc>
              <w:tc>
                <w:tcPr>
                  <w:tcW w:w="1905" w:type="dxa"/>
                  <w:tcBorders>
                    <w:tl2br w:val="nil"/>
                    <w:tr2bl w:val="nil"/>
                  </w:tcBorders>
                  <w:vAlign w:val="center"/>
                </w:tcPr>
                <w:p w14:paraId="3010265D">
                  <w:pPr>
                    <w:pStyle w:val="14"/>
                    <w:kinsoku w:val="0"/>
                    <w:overflowPunct w:val="0"/>
                    <w:jc w:val="center"/>
                    <w:rPr>
                      <w:rFonts w:eastAsia="仿宋"/>
                      <w:color w:val="auto"/>
                      <w:sz w:val="21"/>
                      <w:szCs w:val="21"/>
                    </w:rPr>
                  </w:pPr>
                  <w:r>
                    <w:rPr>
                      <w:rFonts w:eastAsia="仿宋"/>
                      <w:color w:val="auto"/>
                      <w:sz w:val="21"/>
                      <w:szCs w:val="21"/>
                    </w:rPr>
                    <w:t>标准来源</w:t>
                  </w:r>
                </w:p>
              </w:tc>
            </w:tr>
            <w:tr w14:paraId="202BF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7" w:type="dxa"/>
                  <w:tcBorders>
                    <w:tl2br w:val="nil"/>
                    <w:tr2bl w:val="nil"/>
                  </w:tcBorders>
                  <w:vAlign w:val="center"/>
                </w:tcPr>
                <w:p w14:paraId="2040D407">
                  <w:pPr>
                    <w:pStyle w:val="14"/>
                    <w:kinsoku w:val="0"/>
                    <w:overflowPunct w:val="0"/>
                    <w:jc w:val="center"/>
                    <w:rPr>
                      <w:rFonts w:eastAsia="仿宋"/>
                      <w:color w:val="auto"/>
                      <w:sz w:val="21"/>
                      <w:szCs w:val="21"/>
                    </w:rPr>
                  </w:pPr>
                  <w:r>
                    <w:rPr>
                      <w:rFonts w:eastAsia="仿宋"/>
                      <w:color w:val="auto"/>
                      <w:sz w:val="21"/>
                      <w:szCs w:val="21"/>
                    </w:rPr>
                    <w:t xml:space="preserve">颗粒物 </w:t>
                  </w:r>
                </w:p>
              </w:tc>
              <w:tc>
                <w:tcPr>
                  <w:tcW w:w="1380" w:type="dxa"/>
                  <w:tcBorders>
                    <w:tl2br w:val="nil"/>
                    <w:tr2bl w:val="nil"/>
                  </w:tcBorders>
                  <w:vAlign w:val="center"/>
                </w:tcPr>
                <w:p w14:paraId="32A78308">
                  <w:pPr>
                    <w:pStyle w:val="14"/>
                    <w:kinsoku w:val="0"/>
                    <w:overflowPunct w:val="0"/>
                    <w:jc w:val="center"/>
                    <w:rPr>
                      <w:rFonts w:eastAsia="仿宋"/>
                      <w:color w:val="auto"/>
                      <w:sz w:val="21"/>
                      <w:szCs w:val="21"/>
                    </w:rPr>
                  </w:pPr>
                  <w:r>
                    <w:rPr>
                      <w:rFonts w:eastAsia="仿宋"/>
                      <w:color w:val="auto"/>
                      <w:sz w:val="21"/>
                      <w:szCs w:val="21"/>
                    </w:rPr>
                    <w:t xml:space="preserve">厂界 </w:t>
                  </w:r>
                </w:p>
              </w:tc>
              <w:tc>
                <w:tcPr>
                  <w:tcW w:w="1434" w:type="dxa"/>
                  <w:tcBorders>
                    <w:tl2br w:val="nil"/>
                    <w:tr2bl w:val="nil"/>
                  </w:tcBorders>
                  <w:vAlign w:val="center"/>
                </w:tcPr>
                <w:p w14:paraId="3E316824">
                  <w:pPr>
                    <w:pStyle w:val="14"/>
                    <w:kinsoku w:val="0"/>
                    <w:overflowPunct w:val="0"/>
                    <w:jc w:val="center"/>
                    <w:rPr>
                      <w:rFonts w:eastAsia="仿宋"/>
                      <w:color w:val="auto"/>
                      <w:sz w:val="21"/>
                      <w:szCs w:val="21"/>
                    </w:rPr>
                  </w:pPr>
                  <w:r>
                    <w:rPr>
                      <w:rFonts w:eastAsia="仿宋"/>
                      <w:color w:val="auto"/>
                      <w:sz w:val="21"/>
                      <w:szCs w:val="21"/>
                    </w:rPr>
                    <w:t xml:space="preserve">1h 平均浓度 </w:t>
                  </w:r>
                </w:p>
              </w:tc>
              <w:tc>
                <w:tcPr>
                  <w:tcW w:w="1938" w:type="dxa"/>
                  <w:tcBorders>
                    <w:tl2br w:val="nil"/>
                    <w:tr2bl w:val="nil"/>
                  </w:tcBorders>
                  <w:vAlign w:val="center"/>
                </w:tcPr>
                <w:p w14:paraId="7CCA4A5A">
                  <w:pPr>
                    <w:pStyle w:val="14"/>
                    <w:kinsoku w:val="0"/>
                    <w:overflowPunct w:val="0"/>
                    <w:jc w:val="center"/>
                    <w:rPr>
                      <w:rFonts w:eastAsia="仿宋"/>
                      <w:color w:val="auto"/>
                      <w:sz w:val="21"/>
                      <w:szCs w:val="21"/>
                    </w:rPr>
                  </w:pPr>
                  <w:r>
                    <w:rPr>
                      <w:rFonts w:eastAsia="仿宋"/>
                      <w:color w:val="auto"/>
                      <w:sz w:val="21"/>
                      <w:szCs w:val="21"/>
                    </w:rPr>
                    <w:t>0.5</w:t>
                  </w:r>
                </w:p>
              </w:tc>
              <w:tc>
                <w:tcPr>
                  <w:tcW w:w="1905" w:type="dxa"/>
                  <w:vMerge w:val="restart"/>
                  <w:tcBorders>
                    <w:tl2br w:val="nil"/>
                    <w:tr2bl w:val="nil"/>
                  </w:tcBorders>
                  <w:vAlign w:val="center"/>
                </w:tcPr>
                <w:p w14:paraId="65991E89">
                  <w:pPr>
                    <w:pStyle w:val="14"/>
                    <w:kinsoku w:val="0"/>
                    <w:overflowPunct w:val="0"/>
                    <w:jc w:val="center"/>
                    <w:rPr>
                      <w:rFonts w:eastAsia="仿宋"/>
                      <w:color w:val="auto"/>
                      <w:sz w:val="21"/>
                      <w:szCs w:val="21"/>
                    </w:rPr>
                  </w:pPr>
                  <w:r>
                    <w:rPr>
                      <w:rFonts w:eastAsia="仿宋"/>
                      <w:color w:val="auto"/>
                      <w:sz w:val="21"/>
                      <w:szCs w:val="21"/>
                    </w:rPr>
                    <w:t>DB32/4041-2021表3</w:t>
                  </w:r>
                </w:p>
              </w:tc>
            </w:tr>
            <w:tr w14:paraId="4685A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7" w:type="dxa"/>
                  <w:tcBorders>
                    <w:tl2br w:val="nil"/>
                    <w:tr2bl w:val="nil"/>
                  </w:tcBorders>
                  <w:vAlign w:val="center"/>
                </w:tcPr>
                <w:p w14:paraId="4318E87B">
                  <w:pPr>
                    <w:pStyle w:val="14"/>
                    <w:kinsoku w:val="0"/>
                    <w:overflowPunct w:val="0"/>
                    <w:jc w:val="center"/>
                    <w:rPr>
                      <w:rFonts w:eastAsia="仿宋"/>
                      <w:color w:val="auto"/>
                      <w:sz w:val="21"/>
                      <w:szCs w:val="21"/>
                    </w:rPr>
                  </w:pPr>
                  <w:r>
                    <w:rPr>
                      <w:rFonts w:eastAsia="仿宋"/>
                      <w:color w:val="auto"/>
                      <w:sz w:val="21"/>
                      <w:szCs w:val="21"/>
                    </w:rPr>
                    <w:t xml:space="preserve">非甲烷总烃 </w:t>
                  </w:r>
                </w:p>
              </w:tc>
              <w:tc>
                <w:tcPr>
                  <w:tcW w:w="1380" w:type="dxa"/>
                  <w:tcBorders>
                    <w:tl2br w:val="nil"/>
                    <w:tr2bl w:val="nil"/>
                  </w:tcBorders>
                  <w:vAlign w:val="center"/>
                </w:tcPr>
                <w:p w14:paraId="3CDB664F">
                  <w:pPr>
                    <w:pStyle w:val="14"/>
                    <w:kinsoku w:val="0"/>
                    <w:overflowPunct w:val="0"/>
                    <w:jc w:val="center"/>
                    <w:rPr>
                      <w:rFonts w:eastAsia="仿宋"/>
                      <w:color w:val="auto"/>
                      <w:sz w:val="21"/>
                      <w:szCs w:val="21"/>
                    </w:rPr>
                  </w:pPr>
                  <w:r>
                    <w:rPr>
                      <w:rFonts w:eastAsia="仿宋"/>
                      <w:color w:val="auto"/>
                      <w:sz w:val="21"/>
                      <w:szCs w:val="21"/>
                    </w:rPr>
                    <w:t xml:space="preserve">厂界 </w:t>
                  </w:r>
                </w:p>
              </w:tc>
              <w:tc>
                <w:tcPr>
                  <w:tcW w:w="1434" w:type="dxa"/>
                  <w:tcBorders>
                    <w:tl2br w:val="nil"/>
                    <w:tr2bl w:val="nil"/>
                  </w:tcBorders>
                  <w:vAlign w:val="center"/>
                </w:tcPr>
                <w:p w14:paraId="4D94CC83">
                  <w:pPr>
                    <w:pStyle w:val="14"/>
                    <w:kinsoku w:val="0"/>
                    <w:overflowPunct w:val="0"/>
                    <w:jc w:val="center"/>
                    <w:rPr>
                      <w:rFonts w:eastAsia="仿宋"/>
                      <w:color w:val="auto"/>
                      <w:sz w:val="21"/>
                      <w:szCs w:val="21"/>
                    </w:rPr>
                  </w:pPr>
                  <w:r>
                    <w:rPr>
                      <w:rFonts w:eastAsia="仿宋"/>
                      <w:color w:val="auto"/>
                      <w:sz w:val="21"/>
                      <w:szCs w:val="21"/>
                    </w:rPr>
                    <w:t xml:space="preserve">1h 平均浓度 </w:t>
                  </w:r>
                </w:p>
              </w:tc>
              <w:tc>
                <w:tcPr>
                  <w:tcW w:w="1938" w:type="dxa"/>
                  <w:tcBorders>
                    <w:tl2br w:val="nil"/>
                    <w:tr2bl w:val="nil"/>
                  </w:tcBorders>
                  <w:vAlign w:val="center"/>
                </w:tcPr>
                <w:p w14:paraId="538BA96B">
                  <w:pPr>
                    <w:pStyle w:val="14"/>
                    <w:kinsoku w:val="0"/>
                    <w:overflowPunct w:val="0"/>
                    <w:jc w:val="center"/>
                    <w:rPr>
                      <w:rFonts w:eastAsia="仿宋"/>
                      <w:color w:val="auto"/>
                      <w:sz w:val="21"/>
                      <w:szCs w:val="21"/>
                    </w:rPr>
                  </w:pPr>
                  <w:r>
                    <w:rPr>
                      <w:rFonts w:eastAsia="仿宋"/>
                      <w:color w:val="auto"/>
                      <w:sz w:val="21"/>
                      <w:szCs w:val="21"/>
                    </w:rPr>
                    <w:t>4.0</w:t>
                  </w:r>
                </w:p>
              </w:tc>
              <w:tc>
                <w:tcPr>
                  <w:tcW w:w="1905" w:type="dxa"/>
                  <w:vMerge w:val="continue"/>
                  <w:tcBorders>
                    <w:tl2br w:val="nil"/>
                    <w:tr2bl w:val="nil"/>
                  </w:tcBorders>
                  <w:vAlign w:val="center"/>
                </w:tcPr>
                <w:p w14:paraId="65E4B60A">
                  <w:pPr>
                    <w:rPr>
                      <w:rFonts w:ascii="宋体"/>
                      <w:color w:val="auto"/>
                    </w:rPr>
                  </w:pPr>
                </w:p>
              </w:tc>
            </w:tr>
          </w:tbl>
          <w:p w14:paraId="1B2B4593">
            <w:pPr>
              <w:adjustRightInd/>
              <w:spacing w:line="500" w:lineRule="exact"/>
              <w:ind w:firstLine="480" w:firstLineChars="200"/>
              <w:jc w:val="both"/>
              <w:rPr>
                <w:rFonts w:eastAsia="仿宋"/>
                <w:color w:val="auto"/>
              </w:rPr>
            </w:pPr>
            <w:r>
              <w:rPr>
                <w:rFonts w:hint="eastAsia" w:eastAsia="仿宋"/>
                <w:color w:val="auto"/>
              </w:rPr>
              <w:t>本项目运营期管线及配套泵组、紧急切断阀等设备的密封点无组织废气（NMHC）执行</w:t>
            </w:r>
            <w:r>
              <w:rPr>
                <w:rFonts w:hint="eastAsia" w:eastAsia="仿宋"/>
                <w:color w:val="auto"/>
                <w:lang w:val="en-US" w:eastAsia="zh-CN"/>
              </w:rPr>
              <w:t>《挥发性有机物无组织排放控制标准》（GB37822-2019）中表A.1及《大气污染物综合排放标准》（DB32/4041-2021）表3单位边界大气污染物排放监控浓度限值要求</w:t>
            </w:r>
            <w:r>
              <w:rPr>
                <w:rFonts w:hint="eastAsia" w:eastAsia="仿宋"/>
                <w:color w:val="auto"/>
              </w:rPr>
              <w:t>。</w:t>
            </w:r>
          </w:p>
          <w:p w14:paraId="7DD60079">
            <w:pPr>
              <w:pStyle w:val="14"/>
              <w:kinsoku w:val="0"/>
              <w:overflowPunct w:val="0"/>
              <w:spacing w:line="500" w:lineRule="exact"/>
              <w:ind w:firstLine="211" w:firstLineChars="100"/>
              <w:jc w:val="center"/>
              <w:rPr>
                <w:rFonts w:eastAsia="仿宋"/>
                <w:b/>
                <w:bCs/>
                <w:color w:val="auto"/>
                <w:sz w:val="21"/>
                <w:szCs w:val="21"/>
              </w:rPr>
            </w:pPr>
            <w:r>
              <w:rPr>
                <w:rFonts w:eastAsia="仿宋"/>
                <w:b/>
                <w:bCs/>
                <w:color w:val="auto"/>
                <w:sz w:val="21"/>
                <w:szCs w:val="21"/>
              </w:rPr>
              <w:t>表</w:t>
            </w:r>
            <w:r>
              <w:rPr>
                <w:rFonts w:hint="eastAsia" w:eastAsia="仿宋"/>
                <w:b/>
                <w:bCs/>
                <w:color w:val="auto"/>
                <w:sz w:val="21"/>
                <w:szCs w:val="21"/>
              </w:rPr>
              <w:t>3-3</w:t>
            </w:r>
            <w:r>
              <w:rPr>
                <w:rFonts w:eastAsia="仿宋"/>
                <w:b/>
                <w:bCs/>
                <w:color w:val="auto"/>
                <w:sz w:val="21"/>
                <w:szCs w:val="21"/>
              </w:rPr>
              <w:t xml:space="preserve"> 营运期大气污染物排放标准限值</w:t>
            </w:r>
          </w:p>
          <w:tbl>
            <w:tblPr>
              <w:tblStyle w:val="7"/>
              <w:tblW w:w="80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0"/>
              <w:gridCol w:w="1585"/>
              <w:gridCol w:w="1738"/>
              <w:gridCol w:w="1695"/>
              <w:gridCol w:w="2102"/>
            </w:tblGrid>
            <w:tr w14:paraId="2CC33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pct"/>
                  <w:tcBorders>
                    <w:tl2br w:val="nil"/>
                    <w:tr2bl w:val="nil"/>
                  </w:tcBorders>
                  <w:vAlign w:val="center"/>
                </w:tcPr>
                <w:p w14:paraId="379F5280">
                  <w:pPr>
                    <w:widowControl/>
                    <w:jc w:val="center"/>
                    <w:rPr>
                      <w:rFonts w:eastAsia="仿宋"/>
                      <w:color w:val="auto"/>
                      <w:sz w:val="21"/>
                      <w:szCs w:val="21"/>
                    </w:rPr>
                  </w:pPr>
                  <w:r>
                    <w:rPr>
                      <w:rFonts w:eastAsia="仿宋"/>
                      <w:color w:val="auto"/>
                      <w:sz w:val="21"/>
                      <w:szCs w:val="21"/>
                      <w:lang w:bidi="ar"/>
                    </w:rPr>
                    <w:t>污染物</w:t>
                  </w:r>
                </w:p>
              </w:tc>
              <w:tc>
                <w:tcPr>
                  <w:tcW w:w="984" w:type="pct"/>
                  <w:tcBorders>
                    <w:tl2br w:val="nil"/>
                    <w:tr2bl w:val="nil"/>
                  </w:tcBorders>
                  <w:vAlign w:val="center"/>
                </w:tcPr>
                <w:p w14:paraId="773FB2FF">
                  <w:pPr>
                    <w:widowControl/>
                    <w:jc w:val="center"/>
                    <w:rPr>
                      <w:rFonts w:eastAsia="仿宋"/>
                      <w:color w:val="auto"/>
                      <w:sz w:val="21"/>
                      <w:szCs w:val="21"/>
                    </w:rPr>
                  </w:pPr>
                  <w:r>
                    <w:rPr>
                      <w:rFonts w:eastAsia="仿宋"/>
                      <w:color w:val="auto"/>
                      <w:sz w:val="21"/>
                      <w:szCs w:val="21"/>
                      <w:lang w:bidi="ar"/>
                    </w:rPr>
                    <w:t>监控点位置</w:t>
                  </w:r>
                </w:p>
              </w:tc>
              <w:tc>
                <w:tcPr>
                  <w:tcW w:w="1079" w:type="pct"/>
                  <w:tcBorders>
                    <w:tl2br w:val="nil"/>
                    <w:tr2bl w:val="nil"/>
                  </w:tcBorders>
                  <w:vAlign w:val="center"/>
                </w:tcPr>
                <w:p w14:paraId="600EA9E7">
                  <w:pPr>
                    <w:widowControl/>
                    <w:jc w:val="center"/>
                    <w:rPr>
                      <w:rFonts w:eastAsia="仿宋"/>
                      <w:color w:val="auto"/>
                      <w:sz w:val="21"/>
                      <w:szCs w:val="21"/>
                    </w:rPr>
                  </w:pPr>
                  <w:r>
                    <w:rPr>
                      <w:rFonts w:eastAsia="仿宋"/>
                      <w:color w:val="auto"/>
                      <w:sz w:val="21"/>
                      <w:szCs w:val="21"/>
                      <w:lang w:bidi="ar"/>
                    </w:rPr>
                    <w:t>取值时长</w:t>
                  </w:r>
                </w:p>
              </w:tc>
              <w:tc>
                <w:tcPr>
                  <w:tcW w:w="1052" w:type="pct"/>
                  <w:tcBorders>
                    <w:tl2br w:val="nil"/>
                    <w:tr2bl w:val="nil"/>
                  </w:tcBorders>
                  <w:vAlign w:val="center"/>
                </w:tcPr>
                <w:p w14:paraId="64F658CE">
                  <w:pPr>
                    <w:widowControl/>
                    <w:jc w:val="center"/>
                    <w:rPr>
                      <w:rFonts w:eastAsia="仿宋"/>
                      <w:color w:val="auto"/>
                      <w:sz w:val="21"/>
                      <w:szCs w:val="21"/>
                    </w:rPr>
                  </w:pPr>
                  <w:r>
                    <w:rPr>
                      <w:rFonts w:eastAsia="仿宋"/>
                      <w:color w:val="auto"/>
                      <w:sz w:val="21"/>
                      <w:szCs w:val="21"/>
                      <w:lang w:bidi="ar"/>
                    </w:rPr>
                    <w:t>监控浓度mg/m</w:t>
                  </w:r>
                  <w:r>
                    <w:rPr>
                      <w:rFonts w:eastAsia="仿宋"/>
                      <w:color w:val="auto"/>
                      <w:sz w:val="21"/>
                      <w:szCs w:val="21"/>
                      <w:vertAlign w:val="superscript"/>
                      <w:lang w:bidi="ar"/>
                    </w:rPr>
                    <w:t>3</w:t>
                  </w:r>
                  <w:r>
                    <w:rPr>
                      <w:rFonts w:eastAsia="仿宋"/>
                      <w:color w:val="auto"/>
                      <w:sz w:val="21"/>
                      <w:szCs w:val="21"/>
                      <w:lang w:bidi="ar"/>
                    </w:rPr>
                    <w:t>）</w:t>
                  </w:r>
                </w:p>
              </w:tc>
              <w:tc>
                <w:tcPr>
                  <w:tcW w:w="1305" w:type="pct"/>
                  <w:tcBorders>
                    <w:tl2br w:val="nil"/>
                    <w:tr2bl w:val="nil"/>
                  </w:tcBorders>
                  <w:vAlign w:val="center"/>
                </w:tcPr>
                <w:p w14:paraId="3BCCA66F">
                  <w:pPr>
                    <w:widowControl/>
                    <w:jc w:val="center"/>
                    <w:rPr>
                      <w:rFonts w:eastAsia="仿宋"/>
                      <w:color w:val="auto"/>
                      <w:sz w:val="21"/>
                      <w:szCs w:val="21"/>
                    </w:rPr>
                  </w:pPr>
                  <w:r>
                    <w:rPr>
                      <w:rFonts w:eastAsia="仿宋"/>
                      <w:color w:val="auto"/>
                      <w:sz w:val="21"/>
                      <w:szCs w:val="21"/>
                      <w:lang w:bidi="ar"/>
                    </w:rPr>
                    <w:t>标准来源</w:t>
                  </w:r>
                </w:p>
              </w:tc>
            </w:tr>
            <w:tr w14:paraId="32C16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pct"/>
                  <w:vMerge w:val="restart"/>
                  <w:tcBorders>
                    <w:tl2br w:val="nil"/>
                    <w:tr2bl w:val="nil"/>
                  </w:tcBorders>
                  <w:vAlign w:val="center"/>
                </w:tcPr>
                <w:p w14:paraId="2A6A7CE2">
                  <w:pPr>
                    <w:widowControl/>
                    <w:jc w:val="center"/>
                    <w:rPr>
                      <w:rFonts w:eastAsia="仿宋"/>
                      <w:color w:val="auto"/>
                      <w:sz w:val="21"/>
                      <w:szCs w:val="21"/>
                    </w:rPr>
                  </w:pPr>
                  <w:r>
                    <w:rPr>
                      <w:rFonts w:eastAsia="仿宋"/>
                      <w:color w:val="auto"/>
                      <w:sz w:val="21"/>
                      <w:szCs w:val="21"/>
                      <w:lang w:bidi="ar"/>
                    </w:rPr>
                    <w:t>非甲烷总烃</w:t>
                  </w:r>
                </w:p>
              </w:tc>
              <w:tc>
                <w:tcPr>
                  <w:tcW w:w="984" w:type="pct"/>
                  <w:vMerge w:val="restart"/>
                  <w:tcBorders>
                    <w:tl2br w:val="nil"/>
                    <w:tr2bl w:val="nil"/>
                  </w:tcBorders>
                  <w:vAlign w:val="center"/>
                </w:tcPr>
                <w:p w14:paraId="26CB1F25">
                  <w:pPr>
                    <w:widowControl/>
                    <w:jc w:val="center"/>
                    <w:rPr>
                      <w:rFonts w:eastAsia="仿宋"/>
                      <w:color w:val="auto"/>
                      <w:sz w:val="21"/>
                      <w:szCs w:val="21"/>
                    </w:rPr>
                  </w:pPr>
                  <w:r>
                    <w:rPr>
                      <w:rFonts w:eastAsia="仿宋"/>
                      <w:color w:val="auto"/>
                      <w:sz w:val="21"/>
                      <w:szCs w:val="21"/>
                      <w:lang w:bidi="ar"/>
                    </w:rPr>
                    <w:t>装置界区（厂区内）下风向</w:t>
                  </w:r>
                </w:p>
              </w:tc>
              <w:tc>
                <w:tcPr>
                  <w:tcW w:w="1079" w:type="pct"/>
                  <w:tcBorders>
                    <w:tl2br w:val="nil"/>
                    <w:tr2bl w:val="nil"/>
                  </w:tcBorders>
                  <w:vAlign w:val="center"/>
                </w:tcPr>
                <w:p w14:paraId="540A0C9C">
                  <w:pPr>
                    <w:widowControl/>
                    <w:jc w:val="center"/>
                    <w:rPr>
                      <w:rFonts w:eastAsia="仿宋"/>
                      <w:color w:val="auto"/>
                      <w:sz w:val="21"/>
                      <w:szCs w:val="21"/>
                    </w:rPr>
                  </w:pPr>
                  <w:r>
                    <w:rPr>
                      <w:rFonts w:eastAsia="仿宋"/>
                      <w:color w:val="auto"/>
                      <w:sz w:val="21"/>
                      <w:szCs w:val="21"/>
                      <w:lang w:bidi="ar"/>
                    </w:rPr>
                    <w:t>1h平均浓度</w:t>
                  </w:r>
                </w:p>
              </w:tc>
              <w:tc>
                <w:tcPr>
                  <w:tcW w:w="1052" w:type="pct"/>
                  <w:tcBorders>
                    <w:tl2br w:val="nil"/>
                    <w:tr2bl w:val="nil"/>
                  </w:tcBorders>
                  <w:vAlign w:val="center"/>
                </w:tcPr>
                <w:p w14:paraId="4F5674FC">
                  <w:pPr>
                    <w:widowControl/>
                    <w:jc w:val="center"/>
                    <w:rPr>
                      <w:rFonts w:eastAsia="仿宋"/>
                      <w:color w:val="auto"/>
                      <w:sz w:val="21"/>
                      <w:szCs w:val="21"/>
                    </w:rPr>
                  </w:pPr>
                  <w:r>
                    <w:rPr>
                      <w:rFonts w:eastAsia="仿宋"/>
                      <w:color w:val="auto"/>
                      <w:sz w:val="21"/>
                      <w:szCs w:val="21"/>
                      <w:lang w:bidi="ar"/>
                    </w:rPr>
                    <w:t>6</w:t>
                  </w:r>
                </w:p>
              </w:tc>
              <w:tc>
                <w:tcPr>
                  <w:tcW w:w="1305" w:type="pct"/>
                  <w:vMerge w:val="restart"/>
                  <w:tcBorders>
                    <w:tl2br w:val="nil"/>
                    <w:tr2bl w:val="nil"/>
                  </w:tcBorders>
                  <w:vAlign w:val="center"/>
                </w:tcPr>
                <w:p w14:paraId="1D982385">
                  <w:pPr>
                    <w:widowControl/>
                    <w:jc w:val="center"/>
                    <w:rPr>
                      <w:rFonts w:eastAsia="仿宋"/>
                      <w:color w:val="auto"/>
                      <w:sz w:val="21"/>
                      <w:szCs w:val="21"/>
                    </w:rPr>
                  </w:pPr>
                  <w:r>
                    <w:rPr>
                      <w:rFonts w:eastAsia="仿宋"/>
                      <w:color w:val="auto"/>
                      <w:sz w:val="21"/>
                      <w:szCs w:val="21"/>
                      <w:lang w:bidi="ar"/>
                    </w:rPr>
                    <w:t>GB37822-2019表A.1</w:t>
                  </w:r>
                </w:p>
              </w:tc>
            </w:tr>
            <w:tr w14:paraId="4B7EF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pct"/>
                  <w:vMerge w:val="continue"/>
                  <w:tcBorders>
                    <w:tl2br w:val="nil"/>
                    <w:tr2bl w:val="nil"/>
                  </w:tcBorders>
                  <w:vAlign w:val="center"/>
                </w:tcPr>
                <w:p w14:paraId="5380DE44">
                  <w:pPr>
                    <w:widowControl/>
                    <w:rPr>
                      <w:rFonts w:eastAsia="仿宋"/>
                      <w:color w:val="auto"/>
                      <w:sz w:val="21"/>
                      <w:szCs w:val="21"/>
                    </w:rPr>
                  </w:pPr>
                </w:p>
              </w:tc>
              <w:tc>
                <w:tcPr>
                  <w:tcW w:w="984" w:type="pct"/>
                  <w:vMerge w:val="continue"/>
                  <w:tcBorders>
                    <w:tl2br w:val="nil"/>
                    <w:tr2bl w:val="nil"/>
                  </w:tcBorders>
                  <w:vAlign w:val="center"/>
                </w:tcPr>
                <w:p w14:paraId="28E2AE37">
                  <w:pPr>
                    <w:widowControl/>
                    <w:jc w:val="center"/>
                    <w:rPr>
                      <w:rFonts w:eastAsia="仿宋"/>
                      <w:color w:val="auto"/>
                      <w:sz w:val="21"/>
                      <w:szCs w:val="21"/>
                    </w:rPr>
                  </w:pPr>
                </w:p>
              </w:tc>
              <w:tc>
                <w:tcPr>
                  <w:tcW w:w="1079" w:type="pct"/>
                  <w:tcBorders>
                    <w:tl2br w:val="nil"/>
                    <w:tr2bl w:val="nil"/>
                  </w:tcBorders>
                  <w:vAlign w:val="center"/>
                </w:tcPr>
                <w:p w14:paraId="01F19241">
                  <w:pPr>
                    <w:widowControl/>
                    <w:jc w:val="center"/>
                    <w:rPr>
                      <w:rFonts w:eastAsia="仿宋"/>
                      <w:color w:val="auto"/>
                      <w:sz w:val="21"/>
                      <w:szCs w:val="21"/>
                    </w:rPr>
                  </w:pPr>
                  <w:r>
                    <w:rPr>
                      <w:rFonts w:eastAsia="仿宋"/>
                      <w:color w:val="auto"/>
                      <w:sz w:val="21"/>
                      <w:szCs w:val="21"/>
                      <w:lang w:bidi="ar"/>
                    </w:rPr>
                    <w:t>任意一次浓度</w:t>
                  </w:r>
                </w:p>
              </w:tc>
              <w:tc>
                <w:tcPr>
                  <w:tcW w:w="1052" w:type="pct"/>
                  <w:tcBorders>
                    <w:tl2br w:val="nil"/>
                    <w:tr2bl w:val="nil"/>
                  </w:tcBorders>
                  <w:vAlign w:val="center"/>
                </w:tcPr>
                <w:p w14:paraId="56B0CD31">
                  <w:pPr>
                    <w:widowControl/>
                    <w:jc w:val="center"/>
                    <w:rPr>
                      <w:rFonts w:eastAsia="仿宋"/>
                      <w:color w:val="auto"/>
                      <w:sz w:val="21"/>
                      <w:szCs w:val="21"/>
                    </w:rPr>
                  </w:pPr>
                  <w:r>
                    <w:rPr>
                      <w:rFonts w:eastAsia="仿宋"/>
                      <w:color w:val="auto"/>
                      <w:sz w:val="21"/>
                      <w:szCs w:val="21"/>
                      <w:lang w:bidi="ar"/>
                    </w:rPr>
                    <w:t>20</w:t>
                  </w:r>
                </w:p>
              </w:tc>
              <w:tc>
                <w:tcPr>
                  <w:tcW w:w="1305" w:type="pct"/>
                  <w:vMerge w:val="continue"/>
                  <w:tcBorders>
                    <w:tl2br w:val="nil"/>
                    <w:tr2bl w:val="nil"/>
                  </w:tcBorders>
                  <w:vAlign w:val="center"/>
                </w:tcPr>
                <w:p w14:paraId="770C4955">
                  <w:pPr>
                    <w:jc w:val="center"/>
                    <w:rPr>
                      <w:rFonts w:eastAsia="仿宋"/>
                      <w:color w:val="auto"/>
                      <w:sz w:val="21"/>
                      <w:szCs w:val="21"/>
                    </w:rPr>
                  </w:pPr>
                </w:p>
              </w:tc>
            </w:tr>
            <w:tr w14:paraId="53E5E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pct"/>
                  <w:vMerge w:val="continue"/>
                  <w:tcBorders>
                    <w:tl2br w:val="nil"/>
                    <w:tr2bl w:val="nil"/>
                  </w:tcBorders>
                  <w:vAlign w:val="center"/>
                </w:tcPr>
                <w:p w14:paraId="1F6F3DA9">
                  <w:pPr>
                    <w:widowControl/>
                    <w:rPr>
                      <w:rFonts w:eastAsia="仿宋"/>
                      <w:color w:val="auto"/>
                      <w:sz w:val="21"/>
                      <w:szCs w:val="21"/>
                    </w:rPr>
                  </w:pPr>
                </w:p>
              </w:tc>
              <w:tc>
                <w:tcPr>
                  <w:tcW w:w="984" w:type="pct"/>
                  <w:tcBorders>
                    <w:tl2br w:val="nil"/>
                    <w:tr2bl w:val="nil"/>
                  </w:tcBorders>
                  <w:vAlign w:val="center"/>
                </w:tcPr>
                <w:p w14:paraId="5F24CDF6">
                  <w:pPr>
                    <w:widowControl/>
                    <w:jc w:val="center"/>
                    <w:rPr>
                      <w:rFonts w:eastAsia="仿宋"/>
                      <w:color w:val="auto"/>
                      <w:sz w:val="21"/>
                      <w:szCs w:val="21"/>
                    </w:rPr>
                  </w:pPr>
                  <w:r>
                    <w:rPr>
                      <w:rFonts w:eastAsia="仿宋"/>
                      <w:color w:val="auto"/>
                      <w:sz w:val="21"/>
                      <w:szCs w:val="21"/>
                      <w:lang w:bidi="ar"/>
                    </w:rPr>
                    <w:t>厂界</w:t>
                  </w:r>
                </w:p>
              </w:tc>
              <w:tc>
                <w:tcPr>
                  <w:tcW w:w="1079" w:type="pct"/>
                  <w:tcBorders>
                    <w:tl2br w:val="nil"/>
                    <w:tr2bl w:val="nil"/>
                  </w:tcBorders>
                  <w:vAlign w:val="center"/>
                </w:tcPr>
                <w:p w14:paraId="3176943A">
                  <w:pPr>
                    <w:widowControl/>
                    <w:jc w:val="center"/>
                    <w:rPr>
                      <w:rFonts w:eastAsia="仿宋"/>
                      <w:color w:val="auto"/>
                      <w:sz w:val="21"/>
                      <w:szCs w:val="21"/>
                    </w:rPr>
                  </w:pPr>
                  <w:r>
                    <w:rPr>
                      <w:rFonts w:eastAsia="仿宋"/>
                      <w:color w:val="auto"/>
                      <w:sz w:val="21"/>
                      <w:szCs w:val="21"/>
                      <w:lang w:bidi="ar"/>
                    </w:rPr>
                    <w:t>1h平均浓度</w:t>
                  </w:r>
                </w:p>
              </w:tc>
              <w:tc>
                <w:tcPr>
                  <w:tcW w:w="1052" w:type="pct"/>
                  <w:tcBorders>
                    <w:tl2br w:val="nil"/>
                    <w:tr2bl w:val="nil"/>
                  </w:tcBorders>
                  <w:vAlign w:val="center"/>
                </w:tcPr>
                <w:p w14:paraId="55FC8B63">
                  <w:pPr>
                    <w:widowControl/>
                    <w:jc w:val="center"/>
                    <w:rPr>
                      <w:rFonts w:eastAsia="仿宋"/>
                      <w:color w:val="auto"/>
                      <w:sz w:val="21"/>
                      <w:szCs w:val="21"/>
                    </w:rPr>
                  </w:pPr>
                  <w:r>
                    <w:rPr>
                      <w:rFonts w:eastAsia="仿宋"/>
                      <w:color w:val="auto"/>
                      <w:sz w:val="21"/>
                      <w:szCs w:val="21"/>
                      <w:lang w:bidi="ar"/>
                    </w:rPr>
                    <w:t>4.0</w:t>
                  </w:r>
                </w:p>
              </w:tc>
              <w:tc>
                <w:tcPr>
                  <w:tcW w:w="1305" w:type="pct"/>
                  <w:tcBorders>
                    <w:tl2br w:val="nil"/>
                    <w:tr2bl w:val="nil"/>
                  </w:tcBorders>
                  <w:vAlign w:val="center"/>
                </w:tcPr>
                <w:p w14:paraId="6702C315">
                  <w:pPr>
                    <w:widowControl/>
                    <w:jc w:val="center"/>
                    <w:rPr>
                      <w:rFonts w:eastAsia="仿宋"/>
                      <w:color w:val="auto"/>
                      <w:sz w:val="21"/>
                      <w:szCs w:val="21"/>
                    </w:rPr>
                  </w:pPr>
                  <w:r>
                    <w:rPr>
                      <w:rFonts w:eastAsia="仿宋"/>
                      <w:color w:val="auto"/>
                      <w:sz w:val="21"/>
                      <w:szCs w:val="21"/>
                      <w:lang w:bidi="ar"/>
                    </w:rPr>
                    <w:t>DB32/4041-2021表3</w:t>
                  </w:r>
                </w:p>
              </w:tc>
            </w:tr>
          </w:tbl>
          <w:p w14:paraId="76234239">
            <w:pPr>
              <w:adjustRightInd/>
              <w:spacing w:line="500" w:lineRule="exact"/>
              <w:ind w:firstLine="482" w:firstLineChars="200"/>
              <w:jc w:val="both"/>
              <w:rPr>
                <w:rFonts w:eastAsia="仿宋"/>
                <w:b/>
                <w:bCs/>
                <w:color w:val="auto"/>
              </w:rPr>
            </w:pPr>
            <w:r>
              <w:rPr>
                <w:rFonts w:hint="eastAsia" w:eastAsia="仿宋"/>
                <w:b/>
                <w:bCs/>
                <w:color w:val="auto"/>
              </w:rPr>
              <w:t>2、废水污染物排放标准</w:t>
            </w:r>
          </w:p>
          <w:p w14:paraId="4910C8AB">
            <w:pPr>
              <w:adjustRightInd/>
              <w:spacing w:line="500" w:lineRule="exact"/>
              <w:ind w:firstLine="480" w:firstLineChars="200"/>
              <w:jc w:val="both"/>
              <w:rPr>
                <w:rFonts w:hint="eastAsia" w:eastAsia="仿宋"/>
                <w:color w:val="auto"/>
              </w:rPr>
            </w:pPr>
            <w:r>
              <w:rPr>
                <w:rFonts w:hint="eastAsia" w:eastAsia="仿宋"/>
                <w:color w:val="auto"/>
              </w:rPr>
              <w:t>施工期生活污水、管道试压废水收集后排入斯尔邦石化有限公司污水处理站统一处理后回用，不外排。</w:t>
            </w:r>
          </w:p>
          <w:p w14:paraId="6A2A2791">
            <w:pPr>
              <w:adjustRightInd/>
              <w:spacing w:line="500" w:lineRule="exact"/>
              <w:ind w:firstLine="480" w:firstLineChars="200"/>
              <w:jc w:val="both"/>
              <w:rPr>
                <w:rFonts w:hint="eastAsia" w:eastAsia="仿宋"/>
                <w:color w:val="auto"/>
              </w:rPr>
            </w:pPr>
            <w:r>
              <w:rPr>
                <w:rFonts w:hint="eastAsia" w:eastAsia="仿宋"/>
                <w:color w:val="auto"/>
              </w:rPr>
              <w:t>运营期正常工况下无废水产生。</w:t>
            </w:r>
          </w:p>
          <w:p w14:paraId="64CE4440">
            <w:pPr>
              <w:adjustRightInd/>
              <w:spacing w:line="500" w:lineRule="exact"/>
              <w:ind w:firstLine="482" w:firstLineChars="200"/>
              <w:jc w:val="both"/>
              <w:rPr>
                <w:rFonts w:eastAsia="仿宋"/>
                <w:b/>
                <w:bCs/>
                <w:color w:val="auto"/>
              </w:rPr>
            </w:pPr>
            <w:r>
              <w:rPr>
                <w:rFonts w:hint="eastAsia" w:eastAsia="仿宋"/>
                <w:b/>
                <w:bCs/>
                <w:color w:val="auto"/>
              </w:rPr>
              <w:t>3、噪声排放标准</w:t>
            </w:r>
          </w:p>
          <w:p w14:paraId="4D37A100">
            <w:pPr>
              <w:adjustRightInd/>
              <w:spacing w:line="500" w:lineRule="exact"/>
              <w:ind w:firstLine="480" w:firstLineChars="200"/>
              <w:jc w:val="both"/>
              <w:rPr>
                <w:rFonts w:eastAsia="仿宋"/>
                <w:color w:val="auto"/>
              </w:rPr>
            </w:pPr>
            <w:r>
              <w:rPr>
                <w:rFonts w:hint="eastAsia" w:eastAsia="仿宋"/>
                <w:color w:val="auto"/>
              </w:rPr>
              <w:t>荣泰仓储厂界声环境功能区为3类，厂界噪声执行《工业企业厂界环境噪声排放标准》（GB12348-2008）中3类，即昼间≤65dB（A）、夜间≤55dB（A）。</w:t>
            </w:r>
          </w:p>
          <w:p w14:paraId="6C16A42D">
            <w:pPr>
              <w:adjustRightInd/>
              <w:spacing w:line="500" w:lineRule="exact"/>
              <w:ind w:firstLine="480" w:firstLineChars="200"/>
              <w:jc w:val="both"/>
              <w:rPr>
                <w:rFonts w:eastAsia="仿宋"/>
                <w:color w:val="auto"/>
              </w:rPr>
            </w:pPr>
            <w:r>
              <w:rPr>
                <w:rFonts w:hint="eastAsia" w:eastAsia="仿宋"/>
                <w:color w:val="auto"/>
              </w:rPr>
              <w:t>施工期各施工边界的噪声排放执行《建筑施工噪声排放标准》</w:t>
            </w:r>
            <w:r>
              <w:rPr>
                <w:rFonts w:hint="eastAsia" w:eastAsia="仿宋"/>
                <w:color w:val="auto"/>
                <w:lang w:eastAsia="zh-CN"/>
              </w:rPr>
              <w:t>（GB 12523</w:t>
            </w:r>
            <w:r>
              <w:rPr>
                <w:rFonts w:hint="eastAsia" w:eastAsia="仿宋"/>
                <w:color w:val="auto"/>
                <w:lang w:val="en-US" w:eastAsia="zh-CN"/>
              </w:rPr>
              <w:t>-</w:t>
            </w:r>
            <w:r>
              <w:rPr>
                <w:rFonts w:hint="eastAsia" w:eastAsia="仿宋"/>
                <w:color w:val="auto"/>
                <w:lang w:eastAsia="zh-CN"/>
              </w:rPr>
              <w:t>2025）</w:t>
            </w:r>
            <w:r>
              <w:rPr>
                <w:rFonts w:hint="eastAsia" w:eastAsia="仿宋"/>
                <w:color w:val="auto"/>
              </w:rPr>
              <w:t>，即昼间≤70dB（A）、夜间≤55dB（A）。</w:t>
            </w:r>
          </w:p>
        </w:tc>
      </w:tr>
      <w:tr w14:paraId="5CD1D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2" w:hRule="atLeast"/>
          <w:jc w:val="center"/>
        </w:trPr>
        <w:tc>
          <w:tcPr>
            <w:tcW w:w="795" w:type="dxa"/>
            <w:vAlign w:val="center"/>
          </w:tcPr>
          <w:p w14:paraId="747634D0">
            <w:pPr>
              <w:pStyle w:val="14"/>
              <w:kinsoku w:val="0"/>
              <w:overflowPunct w:val="0"/>
              <w:spacing w:line="500" w:lineRule="exact"/>
              <w:ind w:left="102"/>
              <w:rPr>
                <w:rFonts w:eastAsia="仿宋"/>
                <w:color w:val="auto"/>
              </w:rPr>
            </w:pPr>
            <w:r>
              <w:rPr>
                <w:rFonts w:eastAsia="仿宋"/>
                <w:color w:val="auto"/>
              </w:rPr>
              <w:t>总量</w:t>
            </w:r>
          </w:p>
          <w:p w14:paraId="6E73D9BF">
            <w:pPr>
              <w:pStyle w:val="14"/>
              <w:kinsoku w:val="0"/>
              <w:overflowPunct w:val="0"/>
              <w:spacing w:line="500" w:lineRule="exact"/>
              <w:ind w:left="102"/>
              <w:rPr>
                <w:rFonts w:eastAsia="仿宋"/>
                <w:color w:val="auto"/>
              </w:rPr>
            </w:pPr>
            <w:r>
              <w:rPr>
                <w:rFonts w:eastAsia="仿宋"/>
                <w:color w:val="auto"/>
              </w:rPr>
              <w:t>控制</w:t>
            </w:r>
          </w:p>
          <w:p w14:paraId="73ECD4B7">
            <w:pPr>
              <w:pStyle w:val="14"/>
              <w:kinsoku w:val="0"/>
              <w:overflowPunct w:val="0"/>
              <w:spacing w:line="500" w:lineRule="exact"/>
              <w:ind w:left="102"/>
              <w:rPr>
                <w:rFonts w:eastAsia="仿宋"/>
                <w:color w:val="auto"/>
              </w:rPr>
            </w:pPr>
            <w:r>
              <w:rPr>
                <w:rFonts w:eastAsia="仿宋"/>
                <w:color w:val="auto"/>
              </w:rPr>
              <w:t>指标</w:t>
            </w:r>
          </w:p>
        </w:tc>
        <w:tc>
          <w:tcPr>
            <w:tcW w:w="8276" w:type="dxa"/>
            <w:vAlign w:val="center"/>
          </w:tcPr>
          <w:p w14:paraId="7E11CE7B">
            <w:pPr>
              <w:adjustRightInd/>
              <w:spacing w:line="500" w:lineRule="exact"/>
              <w:ind w:firstLine="480" w:firstLineChars="200"/>
              <w:jc w:val="both"/>
              <w:rPr>
                <w:rFonts w:eastAsia="仿宋"/>
                <w:color w:val="auto"/>
              </w:rPr>
            </w:pPr>
            <w:r>
              <w:rPr>
                <w:rFonts w:hint="eastAsia" w:eastAsia="仿宋"/>
                <w:color w:val="auto"/>
              </w:rPr>
              <w:t>本项目为管线项目，运营期正常工况下无废水、噪声、固废产生，仅产生少量无组织废气。本项目无需申请总量控制指标。</w:t>
            </w:r>
          </w:p>
          <w:p w14:paraId="77E62AC9">
            <w:pPr>
              <w:adjustRightInd/>
              <w:spacing w:line="300" w:lineRule="auto"/>
              <w:ind w:firstLine="480" w:firstLineChars="200"/>
              <w:jc w:val="both"/>
              <w:rPr>
                <w:rFonts w:eastAsia="仿宋"/>
                <w:color w:val="auto"/>
              </w:rPr>
            </w:pPr>
          </w:p>
          <w:p w14:paraId="63A7F092">
            <w:pPr>
              <w:adjustRightInd/>
              <w:spacing w:line="300" w:lineRule="auto"/>
              <w:ind w:firstLine="480" w:firstLineChars="200"/>
              <w:jc w:val="both"/>
              <w:rPr>
                <w:rFonts w:eastAsia="仿宋"/>
                <w:color w:val="auto"/>
              </w:rPr>
            </w:pPr>
          </w:p>
          <w:p w14:paraId="54D322F6">
            <w:pPr>
              <w:adjustRightInd/>
              <w:spacing w:line="300" w:lineRule="auto"/>
              <w:ind w:firstLine="480" w:firstLineChars="200"/>
              <w:jc w:val="both"/>
              <w:rPr>
                <w:rFonts w:eastAsia="仿宋"/>
                <w:color w:val="auto"/>
              </w:rPr>
            </w:pPr>
          </w:p>
          <w:p w14:paraId="4458E3CF">
            <w:pPr>
              <w:adjustRightInd/>
              <w:spacing w:line="300" w:lineRule="auto"/>
              <w:ind w:firstLine="480" w:firstLineChars="200"/>
              <w:jc w:val="both"/>
              <w:rPr>
                <w:rFonts w:eastAsia="仿宋"/>
                <w:color w:val="auto"/>
              </w:rPr>
            </w:pPr>
          </w:p>
          <w:p w14:paraId="1ADA8DBE">
            <w:pPr>
              <w:adjustRightInd/>
              <w:spacing w:line="300" w:lineRule="auto"/>
              <w:ind w:firstLine="480" w:firstLineChars="200"/>
              <w:jc w:val="both"/>
              <w:rPr>
                <w:rFonts w:eastAsia="仿宋"/>
                <w:color w:val="auto"/>
              </w:rPr>
            </w:pPr>
          </w:p>
          <w:p w14:paraId="6F41C1C0">
            <w:pPr>
              <w:adjustRightInd/>
              <w:spacing w:line="300" w:lineRule="auto"/>
              <w:ind w:firstLine="480" w:firstLineChars="200"/>
              <w:jc w:val="both"/>
              <w:rPr>
                <w:rFonts w:eastAsia="仿宋"/>
                <w:color w:val="auto"/>
              </w:rPr>
            </w:pPr>
          </w:p>
          <w:p w14:paraId="28A7677E">
            <w:pPr>
              <w:pStyle w:val="2"/>
              <w:rPr>
                <w:rFonts w:eastAsia="仿宋"/>
                <w:color w:val="auto"/>
              </w:rPr>
            </w:pPr>
          </w:p>
          <w:p w14:paraId="49C3CEEC">
            <w:pPr>
              <w:rPr>
                <w:rFonts w:eastAsia="仿宋"/>
                <w:color w:val="auto"/>
              </w:rPr>
            </w:pPr>
          </w:p>
          <w:p w14:paraId="7B046CB0">
            <w:pPr>
              <w:pStyle w:val="2"/>
              <w:rPr>
                <w:rFonts w:eastAsia="仿宋"/>
                <w:color w:val="auto"/>
              </w:rPr>
            </w:pPr>
          </w:p>
          <w:p w14:paraId="0EDB7A61">
            <w:pPr>
              <w:rPr>
                <w:rFonts w:eastAsia="仿宋"/>
                <w:color w:val="auto"/>
              </w:rPr>
            </w:pPr>
          </w:p>
          <w:p w14:paraId="011D70C5">
            <w:pPr>
              <w:pStyle w:val="2"/>
              <w:rPr>
                <w:rFonts w:eastAsia="仿宋"/>
                <w:color w:val="auto"/>
              </w:rPr>
            </w:pPr>
          </w:p>
          <w:p w14:paraId="3D52C679">
            <w:pPr>
              <w:rPr>
                <w:rFonts w:eastAsia="仿宋"/>
                <w:color w:val="auto"/>
              </w:rPr>
            </w:pPr>
          </w:p>
          <w:p w14:paraId="6FACE5B2">
            <w:pPr>
              <w:pStyle w:val="2"/>
              <w:rPr>
                <w:rFonts w:eastAsia="仿宋"/>
                <w:color w:val="auto"/>
              </w:rPr>
            </w:pPr>
          </w:p>
          <w:p w14:paraId="17E41517">
            <w:pPr>
              <w:rPr>
                <w:rFonts w:eastAsia="仿宋"/>
                <w:color w:val="auto"/>
              </w:rPr>
            </w:pPr>
          </w:p>
          <w:p w14:paraId="4CA87958">
            <w:pPr>
              <w:pStyle w:val="2"/>
              <w:rPr>
                <w:rFonts w:eastAsia="仿宋"/>
                <w:color w:val="auto"/>
              </w:rPr>
            </w:pPr>
          </w:p>
          <w:p w14:paraId="043A2588">
            <w:pPr>
              <w:rPr>
                <w:rFonts w:eastAsia="仿宋"/>
                <w:color w:val="auto"/>
              </w:rPr>
            </w:pPr>
          </w:p>
          <w:p w14:paraId="56447B9E">
            <w:pPr>
              <w:pStyle w:val="2"/>
              <w:rPr>
                <w:rFonts w:eastAsia="仿宋"/>
                <w:color w:val="auto"/>
              </w:rPr>
            </w:pPr>
          </w:p>
          <w:p w14:paraId="3DD88D59">
            <w:pPr>
              <w:rPr>
                <w:rFonts w:eastAsia="仿宋"/>
                <w:color w:val="auto"/>
              </w:rPr>
            </w:pPr>
          </w:p>
          <w:p w14:paraId="364DF0F9">
            <w:pPr>
              <w:pStyle w:val="2"/>
              <w:rPr>
                <w:rFonts w:eastAsia="仿宋"/>
                <w:color w:val="auto"/>
              </w:rPr>
            </w:pPr>
          </w:p>
          <w:p w14:paraId="0B389016">
            <w:pPr>
              <w:rPr>
                <w:rFonts w:eastAsia="仿宋"/>
                <w:color w:val="auto"/>
              </w:rPr>
            </w:pPr>
          </w:p>
          <w:p w14:paraId="5D4F6D31">
            <w:pPr>
              <w:pStyle w:val="2"/>
              <w:rPr>
                <w:rFonts w:eastAsia="仿宋"/>
                <w:color w:val="auto"/>
              </w:rPr>
            </w:pPr>
          </w:p>
          <w:p w14:paraId="6FFA1527">
            <w:pPr>
              <w:rPr>
                <w:rFonts w:eastAsia="仿宋"/>
                <w:color w:val="auto"/>
              </w:rPr>
            </w:pPr>
          </w:p>
          <w:p w14:paraId="0FC65345">
            <w:pPr>
              <w:pStyle w:val="2"/>
            </w:pPr>
          </w:p>
          <w:p w14:paraId="75FE4E38">
            <w:pPr>
              <w:adjustRightInd/>
              <w:spacing w:line="300" w:lineRule="auto"/>
              <w:jc w:val="both"/>
              <w:rPr>
                <w:rFonts w:eastAsia="仿宋"/>
                <w:color w:val="auto"/>
              </w:rPr>
            </w:pPr>
          </w:p>
          <w:p w14:paraId="161A4CD0">
            <w:pPr>
              <w:adjustRightInd/>
              <w:spacing w:line="300" w:lineRule="auto"/>
              <w:ind w:firstLine="480" w:firstLineChars="200"/>
              <w:jc w:val="both"/>
              <w:rPr>
                <w:rFonts w:eastAsia="仿宋"/>
                <w:color w:val="auto"/>
              </w:rPr>
            </w:pPr>
          </w:p>
        </w:tc>
      </w:tr>
    </w:tbl>
    <w:p w14:paraId="01313C6E">
      <w:pPr>
        <w:rPr>
          <w:rFonts w:eastAsia="黑体"/>
          <w:color w:val="auto"/>
          <w:sz w:val="22"/>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eastAsia="黑体"/>
          <w:color w:val="auto"/>
          <w:sz w:val="22"/>
        </w:rPr>
        <w:br w:type="page"/>
      </w:r>
    </w:p>
    <w:p w14:paraId="54A40E75">
      <w:pPr>
        <w:pStyle w:val="4"/>
        <w:kinsoku w:val="0"/>
        <w:overflowPunct w:val="0"/>
        <w:spacing w:before="168"/>
        <w:ind w:left="0" w:right="255"/>
        <w:outlineLvl w:val="0"/>
        <w:rPr>
          <w:rFonts w:ascii="Times New Roman" w:eastAsia="仿宋" w:cs="Times New Roman"/>
          <w:b/>
          <w:bCs/>
          <w:color w:val="auto"/>
          <w:sz w:val="24"/>
          <w:szCs w:val="24"/>
        </w:rPr>
      </w:pPr>
      <w:r>
        <w:rPr>
          <w:rFonts w:ascii="Times New Roman" w:eastAsia="仿宋" w:cs="Times New Roman"/>
          <w:b/>
          <w:bCs/>
          <w:color w:val="auto"/>
          <w:sz w:val="24"/>
          <w:szCs w:val="24"/>
        </w:rPr>
        <w:t>表4  工程概况</w:t>
      </w:r>
    </w:p>
    <w:tbl>
      <w:tblPr>
        <w:tblStyle w:val="7"/>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37"/>
        <w:gridCol w:w="7234"/>
      </w:tblGrid>
      <w:tr w14:paraId="4B62A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837" w:type="dxa"/>
            <w:vAlign w:val="center"/>
          </w:tcPr>
          <w:p w14:paraId="4E45501E">
            <w:pPr>
              <w:pStyle w:val="14"/>
              <w:kinsoku w:val="0"/>
              <w:overflowPunct w:val="0"/>
              <w:jc w:val="center"/>
              <w:rPr>
                <w:rFonts w:hint="eastAsia" w:ascii="仿宋" w:hAnsi="仿宋" w:eastAsia="仿宋" w:cs="仿宋"/>
                <w:color w:val="auto"/>
              </w:rPr>
            </w:pPr>
            <w:r>
              <w:rPr>
                <w:rFonts w:hint="eastAsia" w:ascii="仿宋" w:hAnsi="仿宋" w:eastAsia="仿宋" w:cs="仿宋"/>
                <w:color w:val="auto"/>
              </w:rPr>
              <w:t>项目名称</w:t>
            </w:r>
          </w:p>
        </w:tc>
        <w:tc>
          <w:tcPr>
            <w:tcW w:w="7234" w:type="dxa"/>
            <w:vAlign w:val="center"/>
          </w:tcPr>
          <w:p w14:paraId="3FE7911A">
            <w:pPr>
              <w:jc w:val="center"/>
              <w:rPr>
                <w:rFonts w:hint="eastAsia" w:ascii="仿宋" w:hAnsi="仿宋" w:eastAsia="仿宋" w:cs="仿宋"/>
                <w:color w:val="auto"/>
              </w:rPr>
            </w:pPr>
            <w:r>
              <w:rPr>
                <w:rFonts w:hint="eastAsia" w:ascii="仿宋" w:hAnsi="仿宋" w:eastAsia="仿宋" w:cs="仿宋"/>
                <w:color w:val="auto"/>
              </w:rPr>
              <w:t>连云港荣泰化工仓储有限公司技改优化提升项目</w:t>
            </w:r>
          </w:p>
        </w:tc>
      </w:tr>
      <w:tr w14:paraId="0A184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8" w:hRule="atLeast"/>
          <w:jc w:val="center"/>
        </w:trPr>
        <w:tc>
          <w:tcPr>
            <w:tcW w:w="1837" w:type="dxa"/>
            <w:vAlign w:val="center"/>
          </w:tcPr>
          <w:p w14:paraId="150BF2EB">
            <w:pPr>
              <w:pStyle w:val="14"/>
              <w:kinsoku w:val="0"/>
              <w:overflowPunct w:val="0"/>
              <w:jc w:val="center"/>
              <w:rPr>
                <w:rFonts w:hint="eastAsia" w:ascii="仿宋" w:hAnsi="仿宋" w:eastAsia="仿宋" w:cs="仿宋"/>
                <w:color w:val="auto"/>
              </w:rPr>
            </w:pPr>
            <w:r>
              <w:rPr>
                <w:rFonts w:hint="eastAsia" w:ascii="仿宋" w:hAnsi="仿宋" w:eastAsia="仿宋" w:cs="仿宋"/>
                <w:color w:val="auto"/>
              </w:rPr>
              <w:t>项目地理位置</w:t>
            </w:r>
          </w:p>
          <w:p w14:paraId="3143AA06">
            <w:pPr>
              <w:pStyle w:val="14"/>
              <w:kinsoku w:val="0"/>
              <w:overflowPunct w:val="0"/>
              <w:jc w:val="center"/>
              <w:rPr>
                <w:rFonts w:hint="eastAsia" w:ascii="仿宋" w:hAnsi="仿宋" w:eastAsia="仿宋" w:cs="仿宋"/>
                <w:color w:val="auto"/>
              </w:rPr>
            </w:pPr>
            <w:r>
              <w:rPr>
                <w:rFonts w:hint="eastAsia" w:ascii="仿宋" w:hAnsi="仿宋" w:eastAsia="仿宋" w:cs="仿宋"/>
                <w:color w:val="auto"/>
              </w:rPr>
              <w:t>(附地理位置图)</w:t>
            </w:r>
          </w:p>
        </w:tc>
        <w:tc>
          <w:tcPr>
            <w:tcW w:w="7234" w:type="dxa"/>
            <w:vAlign w:val="center"/>
          </w:tcPr>
          <w:p w14:paraId="40711291">
            <w:pPr>
              <w:jc w:val="center"/>
              <w:rPr>
                <w:rFonts w:hint="eastAsia" w:ascii="仿宋" w:hAnsi="仿宋" w:eastAsia="仿宋" w:cs="仿宋"/>
                <w:color w:val="auto"/>
              </w:rPr>
            </w:pPr>
            <w:r>
              <w:rPr>
                <w:rFonts w:eastAsia="仿宋"/>
                <w:color w:val="auto"/>
              </w:rPr>
              <w:t>江苏省连云港市国家东中西区域合作示范区，本项目依托石化产业基地公共管廊新建4条危险化学品输送管线</w:t>
            </w:r>
          </w:p>
        </w:tc>
      </w:tr>
      <w:tr w14:paraId="756D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03" w:hRule="atLeast"/>
          <w:jc w:val="center"/>
        </w:trPr>
        <w:tc>
          <w:tcPr>
            <w:tcW w:w="9071" w:type="dxa"/>
            <w:gridSpan w:val="2"/>
          </w:tcPr>
          <w:p w14:paraId="080A8D55">
            <w:pPr>
              <w:pStyle w:val="14"/>
              <w:kinsoku w:val="0"/>
              <w:overflowPunct w:val="0"/>
              <w:spacing w:line="500" w:lineRule="exact"/>
              <w:ind w:left="102"/>
              <w:rPr>
                <w:rFonts w:eastAsia="仿宋"/>
                <w:color w:val="auto"/>
              </w:rPr>
            </w:pPr>
            <w:r>
              <w:rPr>
                <w:rFonts w:eastAsia="仿宋"/>
                <w:color w:val="auto"/>
              </w:rPr>
              <w:t>主要工程内容及规模：</w:t>
            </w:r>
          </w:p>
          <w:p w14:paraId="3A17E41B">
            <w:pPr>
              <w:pStyle w:val="14"/>
              <w:kinsoku w:val="0"/>
              <w:overflowPunct w:val="0"/>
              <w:adjustRightInd/>
              <w:spacing w:line="500" w:lineRule="exact"/>
              <w:ind w:firstLine="480" w:firstLineChars="200"/>
              <w:jc w:val="both"/>
              <w:rPr>
                <w:rFonts w:eastAsia="仿宋"/>
                <w:color w:val="auto"/>
              </w:rPr>
            </w:pPr>
            <w:r>
              <w:rPr>
                <w:rFonts w:eastAsia="仿宋"/>
                <w:color w:val="auto"/>
              </w:rPr>
              <w:t>本项目位于江苏省连云港市国家东中西区域合作示范区境内的连云港石化产业基地内，新建</w:t>
            </w:r>
            <w:r>
              <w:rPr>
                <w:rFonts w:hint="eastAsia" w:eastAsia="仿宋"/>
                <w:color w:val="auto"/>
                <w:lang w:val="en-US" w:eastAsia="zh-CN"/>
              </w:rPr>
              <w:t>3</w:t>
            </w:r>
            <w:r>
              <w:rPr>
                <w:rFonts w:eastAsia="仿宋"/>
                <w:color w:val="auto"/>
              </w:rPr>
              <w:t>条付料管线，同时在荣泰仓储厂内新增复热器、增压泵及冷冻水罐等设备。本项目新建</w:t>
            </w:r>
            <w:r>
              <w:rPr>
                <w:rFonts w:hint="eastAsia" w:eastAsia="仿宋"/>
                <w:color w:val="auto"/>
                <w:lang w:val="en-US" w:eastAsia="zh-CN"/>
              </w:rPr>
              <w:t>3</w:t>
            </w:r>
            <w:r>
              <w:rPr>
                <w:rFonts w:eastAsia="仿宋"/>
                <w:color w:val="auto"/>
              </w:rPr>
              <w:t>根管线运营期环境管理责任主体为连云港荣泰化工仓储有限公司，管线建设位置如下：</w:t>
            </w:r>
          </w:p>
          <w:p w14:paraId="32B1C08E">
            <w:pPr>
              <w:pStyle w:val="14"/>
              <w:kinsoku w:val="0"/>
              <w:overflowPunct w:val="0"/>
              <w:adjustRightInd/>
              <w:spacing w:line="500" w:lineRule="exact"/>
              <w:ind w:firstLine="480" w:firstLineChars="200"/>
              <w:jc w:val="both"/>
              <w:rPr>
                <w:rFonts w:eastAsia="仿宋"/>
                <w:color w:val="auto"/>
              </w:rPr>
            </w:pPr>
            <w:r>
              <w:rPr>
                <w:rFonts w:eastAsia="仿宋"/>
                <w:color w:val="auto"/>
              </w:rPr>
              <w:t>（1）管线1——输送物料为乙二醇，起点为盛虹炼化厂外罐区（委托荣泰运营管理）乙二醇储罐罐组，沿炼化厂外罐区管廊 EF/CD段、园区公共管廊（陬山路）延伸至虹港石化厂区东围墙外1m处，管线长度约2410m；</w:t>
            </w:r>
          </w:p>
          <w:p w14:paraId="177AB5DF">
            <w:pPr>
              <w:pStyle w:val="14"/>
              <w:kinsoku w:val="0"/>
              <w:overflowPunct w:val="0"/>
              <w:adjustRightInd/>
              <w:spacing w:line="500" w:lineRule="exact"/>
              <w:ind w:firstLine="480" w:firstLineChars="200"/>
              <w:jc w:val="both"/>
              <w:rPr>
                <w:rFonts w:eastAsia="仿宋"/>
                <w:color w:val="auto"/>
              </w:rPr>
            </w:pPr>
            <w:r>
              <w:rPr>
                <w:rFonts w:eastAsia="仿宋"/>
                <w:color w:val="auto"/>
              </w:rPr>
              <w:t>（</w:t>
            </w:r>
            <w:r>
              <w:rPr>
                <w:rFonts w:hint="eastAsia" w:eastAsia="仿宋"/>
                <w:color w:val="auto"/>
                <w:lang w:val="en-US" w:eastAsia="zh-CN"/>
              </w:rPr>
              <w:t>2</w:t>
            </w:r>
            <w:r>
              <w:rPr>
                <w:rFonts w:eastAsia="仿宋"/>
                <w:color w:val="auto"/>
              </w:rPr>
              <w:t>）管线</w:t>
            </w:r>
            <w:r>
              <w:rPr>
                <w:rFonts w:hint="eastAsia" w:eastAsia="仿宋"/>
                <w:color w:val="auto"/>
                <w:lang w:val="en-US" w:eastAsia="zh-CN"/>
              </w:rPr>
              <w:t>2</w:t>
            </w:r>
            <w:r>
              <w:rPr>
                <w:rFonts w:eastAsia="仿宋"/>
                <w:color w:val="auto"/>
              </w:rPr>
              <w:t>——输送物料为丙酮，从荣泰仓储罐组五丙酮储罐沿该罐组邻近管廊至南厂界，经荣泰仓储-斯尔邦石化跨港前大道管廊延伸至斯尔邦石化厂区东北厂界围墙外1m处，管线长度约470m；</w:t>
            </w:r>
          </w:p>
          <w:p w14:paraId="02719AB3">
            <w:pPr>
              <w:pStyle w:val="14"/>
              <w:kinsoku w:val="0"/>
              <w:overflowPunct w:val="0"/>
              <w:adjustRightInd/>
              <w:spacing w:line="500" w:lineRule="exact"/>
              <w:ind w:firstLine="480" w:firstLineChars="200"/>
              <w:jc w:val="both"/>
              <w:rPr>
                <w:rFonts w:eastAsia="仿宋"/>
                <w:color w:val="auto"/>
              </w:rPr>
            </w:pPr>
            <w:r>
              <w:rPr>
                <w:rFonts w:eastAsia="仿宋"/>
                <w:color w:val="auto"/>
              </w:rPr>
              <w:t>（</w:t>
            </w:r>
            <w:r>
              <w:rPr>
                <w:rFonts w:hint="eastAsia" w:eastAsia="仿宋"/>
                <w:color w:val="auto"/>
                <w:lang w:val="en-US" w:eastAsia="zh-CN"/>
              </w:rPr>
              <w:t>3</w:t>
            </w:r>
            <w:r>
              <w:rPr>
                <w:rFonts w:eastAsia="仿宋"/>
                <w:color w:val="auto"/>
              </w:rPr>
              <w:t>）管线</w:t>
            </w:r>
            <w:r>
              <w:rPr>
                <w:rFonts w:hint="eastAsia" w:eastAsia="仿宋"/>
                <w:color w:val="auto"/>
                <w:lang w:val="en-US" w:eastAsia="zh-CN"/>
              </w:rPr>
              <w:t>3</w:t>
            </w:r>
            <w:r>
              <w:rPr>
                <w:rFonts w:eastAsia="仿宋"/>
                <w:color w:val="auto"/>
              </w:rPr>
              <w:t>——输送物料为丁烷，从荣泰仓储低温丁烷罐组球罐区沿厂内管廊至北侧围墙（北3接点），经盛虹炼化厂外罐区EF管廊、CD管廊、AB管廊至园区公共管廊（陬山路）至盛虹炼化厂区（12号门）围墙外1m处，途径虹港石化厂区东围墙处预留甩头，管线长度约5500m。</w:t>
            </w:r>
          </w:p>
          <w:p w14:paraId="6C382C6F">
            <w:pPr>
              <w:pStyle w:val="14"/>
              <w:kinsoku w:val="0"/>
              <w:overflowPunct w:val="0"/>
              <w:adjustRightInd/>
              <w:spacing w:line="500" w:lineRule="exact"/>
              <w:ind w:firstLine="480" w:firstLineChars="200"/>
              <w:jc w:val="both"/>
              <w:rPr>
                <w:rFonts w:eastAsia="仿宋"/>
                <w:color w:val="auto"/>
              </w:rPr>
            </w:pPr>
            <w:r>
              <w:rPr>
                <w:rFonts w:eastAsia="仿宋"/>
                <w:color w:val="auto"/>
              </w:rPr>
              <w:t>各管线起始点及拐点坐标见表</w:t>
            </w:r>
            <w:r>
              <w:rPr>
                <w:rFonts w:hint="eastAsia" w:eastAsia="仿宋"/>
                <w:color w:val="auto"/>
              </w:rPr>
              <w:t>4-</w:t>
            </w:r>
            <w:r>
              <w:rPr>
                <w:rFonts w:eastAsia="仿宋"/>
                <w:color w:val="auto"/>
              </w:rPr>
              <w:t>1。</w:t>
            </w:r>
          </w:p>
          <w:p w14:paraId="685A1464">
            <w:pPr>
              <w:autoSpaceDE/>
              <w:autoSpaceDN/>
              <w:adjustRightInd/>
              <w:spacing w:line="360" w:lineRule="exact"/>
              <w:jc w:val="center"/>
              <w:outlineLvl w:val="2"/>
              <w:rPr>
                <w:rFonts w:hint="eastAsia" w:eastAsia="仿宋"/>
                <w:color w:val="auto"/>
              </w:rPr>
            </w:pPr>
            <w:r>
              <w:rPr>
                <w:rFonts w:eastAsia="仿宋"/>
                <w:b/>
                <w:color w:val="auto"/>
                <w:kern w:val="2"/>
              </w:rPr>
              <w:t>表</w:t>
            </w:r>
            <w:r>
              <w:rPr>
                <w:rFonts w:hint="eastAsia" w:eastAsia="仿宋"/>
                <w:b/>
                <w:color w:val="auto"/>
                <w:kern w:val="2"/>
              </w:rPr>
              <w:t>4-1</w:t>
            </w:r>
            <w:r>
              <w:rPr>
                <w:rFonts w:eastAsia="仿宋"/>
                <w:b/>
                <w:color w:val="auto"/>
                <w:kern w:val="2"/>
              </w:rPr>
              <w:t xml:space="preserve"> </w:t>
            </w:r>
            <w:r>
              <w:rPr>
                <w:rFonts w:hint="eastAsia" w:eastAsia="仿宋"/>
                <w:b/>
                <w:color w:val="auto"/>
                <w:kern w:val="2"/>
              </w:rPr>
              <w:t xml:space="preserve"> </w:t>
            </w:r>
            <w:r>
              <w:rPr>
                <w:rFonts w:eastAsia="仿宋"/>
                <w:b/>
                <w:color w:val="auto"/>
                <w:kern w:val="2"/>
              </w:rPr>
              <w:t>化学品输送管线基本信息</w:t>
            </w:r>
          </w:p>
          <w:tbl>
            <w:tblPr>
              <w:tblStyle w:val="7"/>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178"/>
              <w:gridCol w:w="785"/>
              <w:gridCol w:w="1605"/>
              <w:gridCol w:w="1518"/>
              <w:gridCol w:w="992"/>
              <w:gridCol w:w="992"/>
              <w:gridCol w:w="1116"/>
            </w:tblGrid>
            <w:tr w14:paraId="229F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Merge w:val="restart"/>
                  <w:tcBorders>
                    <w:tl2br w:val="nil"/>
                    <w:tr2bl w:val="nil"/>
                  </w:tcBorders>
                  <w:vAlign w:val="center"/>
                </w:tcPr>
                <w:p w14:paraId="11961F17">
                  <w:pPr>
                    <w:jc w:val="center"/>
                    <w:rPr>
                      <w:rFonts w:eastAsia="仿宋"/>
                      <w:color w:val="auto"/>
                      <w:sz w:val="21"/>
                      <w:szCs w:val="21"/>
                    </w:rPr>
                  </w:pPr>
                  <w:r>
                    <w:rPr>
                      <w:rStyle w:val="15"/>
                      <w:rFonts w:hint="default" w:ascii="Times New Roman" w:hAnsi="Times New Roman" w:eastAsia="仿宋"/>
                      <w:color w:val="auto"/>
                      <w:sz w:val="21"/>
                      <w:szCs w:val="21"/>
                      <w:lang w:bidi="ar"/>
                    </w:rPr>
                    <w:t>管线编号</w:t>
                  </w:r>
                </w:p>
              </w:tc>
              <w:tc>
                <w:tcPr>
                  <w:tcW w:w="1178" w:type="dxa"/>
                  <w:vMerge w:val="restart"/>
                  <w:tcBorders>
                    <w:tl2br w:val="nil"/>
                    <w:tr2bl w:val="nil"/>
                  </w:tcBorders>
                  <w:vAlign w:val="center"/>
                </w:tcPr>
                <w:p w14:paraId="56102935">
                  <w:pPr>
                    <w:jc w:val="center"/>
                    <w:rPr>
                      <w:rFonts w:eastAsia="仿宋"/>
                      <w:color w:val="auto"/>
                      <w:sz w:val="21"/>
                      <w:szCs w:val="21"/>
                    </w:rPr>
                  </w:pPr>
                  <w:r>
                    <w:rPr>
                      <w:rStyle w:val="15"/>
                      <w:rFonts w:hint="default" w:ascii="Times New Roman" w:hAnsi="Times New Roman" w:eastAsia="仿宋"/>
                      <w:color w:val="auto"/>
                      <w:sz w:val="21"/>
                      <w:szCs w:val="21"/>
                      <w:lang w:bidi="ar"/>
                    </w:rPr>
                    <w:t>管道类型</w:t>
                  </w:r>
                </w:p>
              </w:tc>
              <w:tc>
                <w:tcPr>
                  <w:tcW w:w="785" w:type="dxa"/>
                  <w:vMerge w:val="restart"/>
                  <w:tcBorders>
                    <w:tl2br w:val="nil"/>
                    <w:tr2bl w:val="nil"/>
                  </w:tcBorders>
                  <w:vAlign w:val="center"/>
                </w:tcPr>
                <w:p w14:paraId="21F17C0A">
                  <w:pPr>
                    <w:jc w:val="center"/>
                    <w:rPr>
                      <w:rFonts w:eastAsia="仿宋"/>
                      <w:color w:val="auto"/>
                      <w:sz w:val="21"/>
                      <w:szCs w:val="21"/>
                    </w:rPr>
                  </w:pPr>
                  <w:r>
                    <w:rPr>
                      <w:rStyle w:val="15"/>
                      <w:rFonts w:hint="default" w:ascii="Times New Roman" w:hAnsi="Times New Roman" w:eastAsia="仿宋"/>
                      <w:color w:val="auto"/>
                      <w:sz w:val="21"/>
                      <w:szCs w:val="21"/>
                      <w:lang w:bidi="ar"/>
                    </w:rPr>
                    <w:t>位置</w:t>
                  </w:r>
                </w:p>
              </w:tc>
              <w:tc>
                <w:tcPr>
                  <w:tcW w:w="3123" w:type="dxa"/>
                  <w:gridSpan w:val="2"/>
                  <w:tcBorders>
                    <w:tl2br w:val="nil"/>
                    <w:tr2bl w:val="nil"/>
                  </w:tcBorders>
                  <w:vAlign w:val="center"/>
                </w:tcPr>
                <w:p w14:paraId="37B7EF3B">
                  <w:pPr>
                    <w:jc w:val="center"/>
                    <w:rPr>
                      <w:rStyle w:val="15"/>
                      <w:rFonts w:hint="default" w:ascii="Times New Roman" w:hAnsi="Times New Roman" w:eastAsia="仿宋"/>
                      <w:color w:val="auto"/>
                      <w:sz w:val="21"/>
                      <w:szCs w:val="21"/>
                      <w:lang w:bidi="ar"/>
                    </w:rPr>
                  </w:pPr>
                  <w:r>
                    <w:rPr>
                      <w:rStyle w:val="15"/>
                      <w:rFonts w:hint="default" w:ascii="Times New Roman" w:hAnsi="Times New Roman" w:eastAsia="仿宋"/>
                      <w:color w:val="auto"/>
                      <w:sz w:val="21"/>
                      <w:szCs w:val="21"/>
                      <w:lang w:bidi="ar"/>
                    </w:rPr>
                    <w:t>坐标</w:t>
                  </w:r>
                </w:p>
              </w:tc>
              <w:tc>
                <w:tcPr>
                  <w:tcW w:w="992" w:type="dxa"/>
                  <w:vMerge w:val="restart"/>
                  <w:tcBorders>
                    <w:tl2br w:val="nil"/>
                    <w:tr2bl w:val="nil"/>
                  </w:tcBorders>
                  <w:vAlign w:val="center"/>
                </w:tcPr>
                <w:p w14:paraId="356FE905">
                  <w:pPr>
                    <w:jc w:val="center"/>
                    <w:rPr>
                      <w:rFonts w:eastAsia="仿宋"/>
                      <w:color w:val="auto"/>
                      <w:sz w:val="21"/>
                      <w:szCs w:val="21"/>
                    </w:rPr>
                  </w:pPr>
                  <w:r>
                    <w:rPr>
                      <w:rStyle w:val="15"/>
                      <w:rFonts w:hint="default" w:ascii="Times New Roman" w:hAnsi="Times New Roman" w:eastAsia="仿宋"/>
                      <w:color w:val="auto"/>
                      <w:sz w:val="21"/>
                      <w:szCs w:val="21"/>
                      <w:lang w:bidi="ar"/>
                    </w:rPr>
                    <w:t>长度（</w:t>
                  </w:r>
                  <w:r>
                    <w:rPr>
                      <w:rStyle w:val="19"/>
                      <w:rFonts w:ascii="Times New Roman" w:hAnsi="Times New Roman" w:eastAsia="仿宋" w:cs="Times New Roman"/>
                      <w:color w:val="auto"/>
                      <w:sz w:val="21"/>
                      <w:szCs w:val="21"/>
                      <w:lang w:bidi="ar"/>
                    </w:rPr>
                    <w:t>m</w:t>
                  </w:r>
                  <w:r>
                    <w:rPr>
                      <w:rStyle w:val="15"/>
                      <w:rFonts w:hint="default" w:ascii="Times New Roman" w:hAnsi="Times New Roman" w:eastAsia="仿宋"/>
                      <w:color w:val="auto"/>
                      <w:sz w:val="21"/>
                      <w:szCs w:val="21"/>
                      <w:lang w:bidi="ar"/>
                    </w:rPr>
                    <w:t>）</w:t>
                  </w:r>
                </w:p>
              </w:tc>
              <w:tc>
                <w:tcPr>
                  <w:tcW w:w="992" w:type="dxa"/>
                  <w:vMerge w:val="restart"/>
                  <w:tcBorders>
                    <w:tl2br w:val="nil"/>
                    <w:tr2bl w:val="nil"/>
                  </w:tcBorders>
                  <w:vAlign w:val="center"/>
                </w:tcPr>
                <w:p w14:paraId="16CD2F48">
                  <w:pPr>
                    <w:jc w:val="center"/>
                    <w:rPr>
                      <w:rFonts w:eastAsia="仿宋"/>
                      <w:color w:val="auto"/>
                      <w:sz w:val="21"/>
                      <w:szCs w:val="21"/>
                    </w:rPr>
                  </w:pPr>
                  <w:r>
                    <w:rPr>
                      <w:rStyle w:val="15"/>
                      <w:rFonts w:hint="default" w:ascii="Times New Roman" w:hAnsi="Times New Roman" w:eastAsia="仿宋"/>
                      <w:color w:val="auto"/>
                      <w:sz w:val="21"/>
                      <w:szCs w:val="21"/>
                      <w:lang w:bidi="ar"/>
                    </w:rPr>
                    <w:t>管径（</w:t>
                  </w:r>
                  <w:r>
                    <w:rPr>
                      <w:rStyle w:val="19"/>
                      <w:rFonts w:ascii="Times New Roman" w:hAnsi="Times New Roman" w:eastAsia="仿宋" w:cs="Times New Roman"/>
                      <w:color w:val="auto"/>
                      <w:sz w:val="21"/>
                      <w:szCs w:val="21"/>
                      <w:lang w:bidi="ar"/>
                    </w:rPr>
                    <w:t>mm</w:t>
                  </w:r>
                  <w:r>
                    <w:rPr>
                      <w:rStyle w:val="15"/>
                      <w:rFonts w:hint="default" w:ascii="Times New Roman" w:hAnsi="Times New Roman" w:eastAsia="仿宋"/>
                      <w:color w:val="auto"/>
                      <w:sz w:val="21"/>
                      <w:szCs w:val="21"/>
                      <w:lang w:bidi="ar"/>
                    </w:rPr>
                    <w:t>）</w:t>
                  </w:r>
                </w:p>
              </w:tc>
              <w:tc>
                <w:tcPr>
                  <w:tcW w:w="1116" w:type="dxa"/>
                  <w:vMerge w:val="restart"/>
                  <w:tcBorders>
                    <w:tl2br w:val="nil"/>
                    <w:tr2bl w:val="nil"/>
                  </w:tcBorders>
                  <w:vAlign w:val="center"/>
                </w:tcPr>
                <w:p w14:paraId="3A80D3CD">
                  <w:pPr>
                    <w:jc w:val="center"/>
                    <w:rPr>
                      <w:rFonts w:eastAsia="仿宋"/>
                      <w:color w:val="auto"/>
                      <w:sz w:val="21"/>
                      <w:szCs w:val="21"/>
                    </w:rPr>
                  </w:pPr>
                  <w:r>
                    <w:rPr>
                      <w:rStyle w:val="15"/>
                      <w:rFonts w:hint="default" w:ascii="Times New Roman" w:hAnsi="Times New Roman" w:eastAsia="仿宋"/>
                      <w:color w:val="auto"/>
                      <w:sz w:val="21"/>
                      <w:szCs w:val="21"/>
                      <w:lang w:bidi="ar"/>
                    </w:rPr>
                    <w:t>管道材质</w:t>
                  </w:r>
                </w:p>
              </w:tc>
            </w:tr>
            <w:tr w14:paraId="44B43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Merge w:val="continue"/>
                  <w:tcBorders>
                    <w:tl2br w:val="nil"/>
                    <w:tr2bl w:val="nil"/>
                  </w:tcBorders>
                  <w:vAlign w:val="center"/>
                </w:tcPr>
                <w:p w14:paraId="3F51EE0F">
                  <w:pPr>
                    <w:rPr>
                      <w:rFonts w:eastAsia="仿宋"/>
                      <w:color w:val="auto"/>
                      <w:sz w:val="21"/>
                      <w:szCs w:val="21"/>
                    </w:rPr>
                  </w:pPr>
                </w:p>
              </w:tc>
              <w:tc>
                <w:tcPr>
                  <w:tcW w:w="1178" w:type="dxa"/>
                  <w:vMerge w:val="continue"/>
                  <w:tcBorders>
                    <w:tl2br w:val="nil"/>
                    <w:tr2bl w:val="nil"/>
                  </w:tcBorders>
                  <w:vAlign w:val="center"/>
                </w:tcPr>
                <w:p w14:paraId="76DEB56F">
                  <w:pPr>
                    <w:jc w:val="center"/>
                    <w:rPr>
                      <w:rFonts w:eastAsia="仿宋"/>
                      <w:color w:val="auto"/>
                      <w:sz w:val="21"/>
                      <w:szCs w:val="21"/>
                    </w:rPr>
                  </w:pPr>
                </w:p>
              </w:tc>
              <w:tc>
                <w:tcPr>
                  <w:tcW w:w="785" w:type="dxa"/>
                  <w:vMerge w:val="continue"/>
                  <w:tcBorders>
                    <w:tl2br w:val="nil"/>
                    <w:tr2bl w:val="nil"/>
                  </w:tcBorders>
                  <w:vAlign w:val="center"/>
                </w:tcPr>
                <w:p w14:paraId="0EF2EA66">
                  <w:pPr>
                    <w:jc w:val="center"/>
                    <w:rPr>
                      <w:rFonts w:eastAsia="仿宋"/>
                      <w:color w:val="auto"/>
                      <w:sz w:val="21"/>
                      <w:szCs w:val="21"/>
                    </w:rPr>
                  </w:pPr>
                </w:p>
              </w:tc>
              <w:tc>
                <w:tcPr>
                  <w:tcW w:w="1605" w:type="dxa"/>
                  <w:tcBorders>
                    <w:tl2br w:val="nil"/>
                    <w:tr2bl w:val="nil"/>
                  </w:tcBorders>
                  <w:vAlign w:val="center"/>
                </w:tcPr>
                <w:p w14:paraId="4A2C4275">
                  <w:pPr>
                    <w:jc w:val="center"/>
                    <w:rPr>
                      <w:rFonts w:eastAsia="仿宋"/>
                      <w:color w:val="auto"/>
                      <w:sz w:val="21"/>
                      <w:szCs w:val="21"/>
                    </w:rPr>
                  </w:pPr>
                  <w:r>
                    <w:rPr>
                      <w:rStyle w:val="15"/>
                      <w:rFonts w:hint="default" w:ascii="Times New Roman" w:hAnsi="Times New Roman" w:eastAsia="仿宋"/>
                      <w:color w:val="auto"/>
                      <w:sz w:val="21"/>
                      <w:szCs w:val="21"/>
                      <w:lang w:bidi="ar"/>
                    </w:rPr>
                    <w:t>东经</w:t>
                  </w:r>
                </w:p>
              </w:tc>
              <w:tc>
                <w:tcPr>
                  <w:tcW w:w="1518" w:type="dxa"/>
                  <w:tcBorders>
                    <w:tl2br w:val="nil"/>
                    <w:tr2bl w:val="nil"/>
                  </w:tcBorders>
                  <w:vAlign w:val="center"/>
                </w:tcPr>
                <w:p w14:paraId="2A884B5B">
                  <w:pPr>
                    <w:jc w:val="center"/>
                    <w:rPr>
                      <w:rFonts w:eastAsia="仿宋"/>
                      <w:color w:val="auto"/>
                      <w:sz w:val="21"/>
                      <w:szCs w:val="21"/>
                    </w:rPr>
                  </w:pPr>
                  <w:r>
                    <w:rPr>
                      <w:rStyle w:val="15"/>
                      <w:rFonts w:hint="default" w:ascii="Times New Roman" w:hAnsi="Times New Roman" w:eastAsia="仿宋"/>
                      <w:color w:val="auto"/>
                      <w:sz w:val="21"/>
                      <w:szCs w:val="21"/>
                      <w:lang w:bidi="ar"/>
                    </w:rPr>
                    <w:t>北纬</w:t>
                  </w:r>
                </w:p>
              </w:tc>
              <w:tc>
                <w:tcPr>
                  <w:tcW w:w="992" w:type="dxa"/>
                  <w:vMerge w:val="continue"/>
                  <w:tcBorders>
                    <w:tl2br w:val="nil"/>
                    <w:tr2bl w:val="nil"/>
                  </w:tcBorders>
                  <w:vAlign w:val="center"/>
                </w:tcPr>
                <w:p w14:paraId="4D4C77D8">
                  <w:pPr>
                    <w:jc w:val="center"/>
                    <w:rPr>
                      <w:rFonts w:eastAsia="仿宋"/>
                      <w:color w:val="auto"/>
                      <w:sz w:val="21"/>
                      <w:szCs w:val="21"/>
                    </w:rPr>
                  </w:pPr>
                </w:p>
              </w:tc>
              <w:tc>
                <w:tcPr>
                  <w:tcW w:w="992" w:type="dxa"/>
                  <w:vMerge w:val="continue"/>
                  <w:tcBorders>
                    <w:tl2br w:val="nil"/>
                    <w:tr2bl w:val="nil"/>
                  </w:tcBorders>
                  <w:vAlign w:val="center"/>
                </w:tcPr>
                <w:p w14:paraId="2E8E135A">
                  <w:pPr>
                    <w:jc w:val="center"/>
                    <w:rPr>
                      <w:rFonts w:eastAsia="仿宋"/>
                      <w:color w:val="auto"/>
                      <w:sz w:val="21"/>
                      <w:szCs w:val="21"/>
                    </w:rPr>
                  </w:pPr>
                </w:p>
              </w:tc>
              <w:tc>
                <w:tcPr>
                  <w:tcW w:w="1116" w:type="dxa"/>
                  <w:vMerge w:val="continue"/>
                  <w:tcBorders>
                    <w:tl2br w:val="nil"/>
                    <w:tr2bl w:val="nil"/>
                  </w:tcBorders>
                  <w:vAlign w:val="center"/>
                </w:tcPr>
                <w:p w14:paraId="3FCA98C4">
                  <w:pPr>
                    <w:jc w:val="center"/>
                    <w:rPr>
                      <w:rFonts w:eastAsia="仿宋"/>
                      <w:color w:val="auto"/>
                      <w:sz w:val="21"/>
                      <w:szCs w:val="21"/>
                    </w:rPr>
                  </w:pPr>
                </w:p>
              </w:tc>
            </w:tr>
            <w:tr w14:paraId="1A738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Merge w:val="restart"/>
                  <w:tcBorders>
                    <w:tl2br w:val="nil"/>
                    <w:tr2bl w:val="nil"/>
                  </w:tcBorders>
                  <w:vAlign w:val="center"/>
                </w:tcPr>
                <w:p w14:paraId="464C13CE">
                  <w:pPr>
                    <w:jc w:val="center"/>
                    <w:rPr>
                      <w:rFonts w:eastAsia="仿宋"/>
                      <w:color w:val="auto"/>
                      <w:sz w:val="21"/>
                      <w:szCs w:val="21"/>
                    </w:rPr>
                  </w:pPr>
                  <w:r>
                    <w:rPr>
                      <w:rStyle w:val="19"/>
                      <w:rFonts w:ascii="Times New Roman" w:hAnsi="Times New Roman" w:eastAsia="仿宋" w:cs="Times New Roman"/>
                      <w:color w:val="auto"/>
                      <w:sz w:val="21"/>
                      <w:szCs w:val="21"/>
                      <w:lang w:bidi="ar"/>
                    </w:rPr>
                    <w:t>1</w:t>
                  </w:r>
                </w:p>
              </w:tc>
              <w:tc>
                <w:tcPr>
                  <w:tcW w:w="1178" w:type="dxa"/>
                  <w:vMerge w:val="restart"/>
                  <w:tcBorders>
                    <w:tl2br w:val="nil"/>
                    <w:tr2bl w:val="nil"/>
                  </w:tcBorders>
                  <w:vAlign w:val="center"/>
                </w:tcPr>
                <w:p w14:paraId="79E006CB">
                  <w:pPr>
                    <w:jc w:val="center"/>
                    <w:rPr>
                      <w:rFonts w:eastAsia="仿宋"/>
                      <w:color w:val="auto"/>
                      <w:sz w:val="21"/>
                      <w:szCs w:val="21"/>
                    </w:rPr>
                  </w:pPr>
                  <w:r>
                    <w:rPr>
                      <w:rStyle w:val="15"/>
                      <w:rFonts w:hint="default" w:ascii="Times New Roman" w:hAnsi="Times New Roman" w:eastAsia="仿宋"/>
                      <w:color w:val="auto"/>
                      <w:sz w:val="21"/>
                      <w:szCs w:val="21"/>
                      <w:lang w:bidi="ar"/>
                    </w:rPr>
                    <w:t>乙二醇输送管线（盛虹炼化厂外罐区</w:t>
                  </w:r>
                  <w:r>
                    <w:rPr>
                      <w:rStyle w:val="19"/>
                      <w:rFonts w:ascii="Times New Roman" w:hAnsi="Times New Roman" w:eastAsia="仿宋" w:cs="Times New Roman"/>
                      <w:color w:val="auto"/>
                      <w:sz w:val="21"/>
                      <w:szCs w:val="21"/>
                      <w:lang w:bidi="ar"/>
                    </w:rPr>
                    <w:t>→</w:t>
                  </w:r>
                  <w:r>
                    <w:rPr>
                      <w:rStyle w:val="15"/>
                      <w:rFonts w:hint="default" w:ascii="Times New Roman" w:hAnsi="Times New Roman" w:eastAsia="仿宋"/>
                      <w:color w:val="auto"/>
                      <w:sz w:val="21"/>
                      <w:szCs w:val="21"/>
                      <w:lang w:bidi="ar"/>
                    </w:rPr>
                    <w:t>虹港石化）</w:t>
                  </w:r>
                </w:p>
              </w:tc>
              <w:tc>
                <w:tcPr>
                  <w:tcW w:w="785" w:type="dxa"/>
                  <w:tcBorders>
                    <w:tl2br w:val="nil"/>
                    <w:tr2bl w:val="nil"/>
                  </w:tcBorders>
                  <w:vAlign w:val="center"/>
                </w:tcPr>
                <w:p w14:paraId="5D14532A">
                  <w:pPr>
                    <w:jc w:val="center"/>
                    <w:rPr>
                      <w:rFonts w:eastAsia="仿宋"/>
                      <w:color w:val="auto"/>
                      <w:sz w:val="21"/>
                      <w:szCs w:val="21"/>
                    </w:rPr>
                  </w:pPr>
                  <w:r>
                    <w:rPr>
                      <w:rStyle w:val="15"/>
                      <w:rFonts w:hint="default" w:ascii="Times New Roman" w:hAnsi="Times New Roman" w:eastAsia="仿宋"/>
                      <w:color w:val="auto"/>
                      <w:sz w:val="21"/>
                      <w:szCs w:val="21"/>
                      <w:lang w:bidi="ar"/>
                    </w:rPr>
                    <w:t>起点</w:t>
                  </w:r>
                </w:p>
              </w:tc>
              <w:tc>
                <w:tcPr>
                  <w:tcW w:w="1605" w:type="dxa"/>
                  <w:tcBorders>
                    <w:tl2br w:val="nil"/>
                    <w:tr2bl w:val="nil"/>
                  </w:tcBorders>
                  <w:vAlign w:val="center"/>
                </w:tcPr>
                <w:p w14:paraId="3A5C645A">
                  <w:pPr>
                    <w:jc w:val="center"/>
                    <w:rPr>
                      <w:rFonts w:eastAsia="仿宋"/>
                      <w:color w:val="auto"/>
                      <w:sz w:val="21"/>
                      <w:szCs w:val="21"/>
                    </w:rPr>
                  </w:pPr>
                  <w:r>
                    <w:rPr>
                      <w:rStyle w:val="19"/>
                      <w:rFonts w:ascii="Times New Roman" w:hAnsi="Times New Roman" w:eastAsia="仿宋" w:cs="Times New Roman"/>
                      <w:color w:val="auto"/>
                      <w:sz w:val="21"/>
                      <w:szCs w:val="21"/>
                      <w:lang w:bidi="ar"/>
                    </w:rPr>
                    <w:t>119°37′26.761″</w:t>
                  </w:r>
                </w:p>
              </w:tc>
              <w:tc>
                <w:tcPr>
                  <w:tcW w:w="1518" w:type="dxa"/>
                  <w:tcBorders>
                    <w:tl2br w:val="nil"/>
                    <w:tr2bl w:val="nil"/>
                  </w:tcBorders>
                  <w:vAlign w:val="center"/>
                </w:tcPr>
                <w:p w14:paraId="088C5AFA">
                  <w:pPr>
                    <w:jc w:val="center"/>
                    <w:rPr>
                      <w:rStyle w:val="19"/>
                      <w:rFonts w:ascii="Times New Roman" w:hAnsi="Times New Roman" w:eastAsia="仿宋" w:cs="Times New Roman"/>
                      <w:color w:val="auto"/>
                      <w:sz w:val="21"/>
                      <w:szCs w:val="21"/>
                      <w:lang w:bidi="ar"/>
                    </w:rPr>
                  </w:pPr>
                  <w:r>
                    <w:rPr>
                      <w:rStyle w:val="19"/>
                      <w:rFonts w:ascii="Times New Roman" w:hAnsi="Times New Roman" w:eastAsia="仿宋" w:cs="Times New Roman"/>
                      <w:color w:val="auto"/>
                      <w:sz w:val="21"/>
                      <w:szCs w:val="21"/>
                      <w:lang w:bidi="ar"/>
                    </w:rPr>
                    <w:t>34°33′15.358″</w:t>
                  </w:r>
                </w:p>
              </w:tc>
              <w:tc>
                <w:tcPr>
                  <w:tcW w:w="992" w:type="dxa"/>
                  <w:vMerge w:val="restart"/>
                  <w:tcBorders>
                    <w:tl2br w:val="nil"/>
                    <w:tr2bl w:val="nil"/>
                  </w:tcBorders>
                  <w:vAlign w:val="center"/>
                </w:tcPr>
                <w:p w14:paraId="107A4D50">
                  <w:pPr>
                    <w:jc w:val="center"/>
                    <w:rPr>
                      <w:rFonts w:eastAsia="仿宋"/>
                      <w:color w:val="auto"/>
                      <w:sz w:val="21"/>
                      <w:szCs w:val="21"/>
                    </w:rPr>
                  </w:pPr>
                  <w:r>
                    <w:rPr>
                      <w:rStyle w:val="19"/>
                      <w:rFonts w:ascii="Times New Roman" w:hAnsi="Times New Roman" w:eastAsia="仿宋" w:cs="Times New Roman"/>
                      <w:color w:val="auto"/>
                      <w:sz w:val="21"/>
                      <w:szCs w:val="21"/>
                      <w:lang w:bidi="ar"/>
                    </w:rPr>
                    <w:t>2410</w:t>
                  </w:r>
                </w:p>
              </w:tc>
              <w:tc>
                <w:tcPr>
                  <w:tcW w:w="992" w:type="dxa"/>
                  <w:vMerge w:val="restart"/>
                  <w:tcBorders>
                    <w:tl2br w:val="nil"/>
                    <w:tr2bl w:val="nil"/>
                  </w:tcBorders>
                  <w:vAlign w:val="center"/>
                </w:tcPr>
                <w:p w14:paraId="6AA57083">
                  <w:pPr>
                    <w:jc w:val="center"/>
                    <w:rPr>
                      <w:rFonts w:eastAsia="仿宋"/>
                      <w:color w:val="auto"/>
                      <w:sz w:val="21"/>
                      <w:szCs w:val="21"/>
                    </w:rPr>
                  </w:pPr>
                  <w:r>
                    <w:rPr>
                      <w:rStyle w:val="19"/>
                      <w:rFonts w:ascii="Times New Roman" w:hAnsi="Times New Roman" w:eastAsia="仿宋" w:cs="Times New Roman"/>
                      <w:color w:val="auto"/>
                      <w:sz w:val="21"/>
                      <w:szCs w:val="21"/>
                      <w:lang w:bidi="ar"/>
                    </w:rPr>
                    <w:t>DN100</w:t>
                  </w:r>
                </w:p>
              </w:tc>
              <w:tc>
                <w:tcPr>
                  <w:tcW w:w="1116" w:type="dxa"/>
                  <w:vMerge w:val="restart"/>
                  <w:tcBorders>
                    <w:tl2br w:val="nil"/>
                    <w:tr2bl w:val="nil"/>
                  </w:tcBorders>
                  <w:vAlign w:val="center"/>
                </w:tcPr>
                <w:p w14:paraId="12DD121F">
                  <w:pPr>
                    <w:jc w:val="center"/>
                    <w:rPr>
                      <w:rFonts w:eastAsia="仿宋"/>
                      <w:color w:val="auto"/>
                      <w:sz w:val="21"/>
                      <w:szCs w:val="21"/>
                    </w:rPr>
                  </w:pPr>
                  <w:r>
                    <w:rPr>
                      <w:rStyle w:val="19"/>
                      <w:rFonts w:ascii="Times New Roman" w:hAnsi="Times New Roman" w:eastAsia="仿宋" w:cs="Times New Roman"/>
                      <w:color w:val="auto"/>
                      <w:sz w:val="21"/>
                      <w:szCs w:val="21"/>
                      <w:lang w:bidi="ar"/>
                    </w:rPr>
                    <w:t>06Cr19Ni10</w:t>
                  </w:r>
                </w:p>
              </w:tc>
            </w:tr>
            <w:tr w14:paraId="29288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Merge w:val="continue"/>
                  <w:tcBorders>
                    <w:tl2br w:val="nil"/>
                    <w:tr2bl w:val="nil"/>
                  </w:tcBorders>
                  <w:vAlign w:val="center"/>
                </w:tcPr>
                <w:p w14:paraId="420E8441">
                  <w:pPr>
                    <w:rPr>
                      <w:rFonts w:eastAsia="仿宋"/>
                      <w:color w:val="auto"/>
                      <w:sz w:val="21"/>
                      <w:szCs w:val="21"/>
                    </w:rPr>
                  </w:pPr>
                </w:p>
              </w:tc>
              <w:tc>
                <w:tcPr>
                  <w:tcW w:w="1178" w:type="dxa"/>
                  <w:vMerge w:val="continue"/>
                  <w:tcBorders>
                    <w:tl2br w:val="nil"/>
                    <w:tr2bl w:val="nil"/>
                  </w:tcBorders>
                  <w:vAlign w:val="center"/>
                </w:tcPr>
                <w:p w14:paraId="7AF32969">
                  <w:pPr>
                    <w:jc w:val="center"/>
                    <w:rPr>
                      <w:rFonts w:eastAsia="仿宋"/>
                      <w:color w:val="auto"/>
                      <w:sz w:val="21"/>
                      <w:szCs w:val="21"/>
                    </w:rPr>
                  </w:pPr>
                </w:p>
              </w:tc>
              <w:tc>
                <w:tcPr>
                  <w:tcW w:w="785" w:type="dxa"/>
                  <w:tcBorders>
                    <w:tl2br w:val="nil"/>
                    <w:tr2bl w:val="nil"/>
                  </w:tcBorders>
                  <w:vAlign w:val="center"/>
                </w:tcPr>
                <w:p w14:paraId="37554235">
                  <w:pPr>
                    <w:jc w:val="center"/>
                    <w:rPr>
                      <w:rFonts w:eastAsia="仿宋"/>
                      <w:color w:val="auto"/>
                      <w:sz w:val="21"/>
                      <w:szCs w:val="21"/>
                    </w:rPr>
                  </w:pPr>
                  <w:r>
                    <w:rPr>
                      <w:rStyle w:val="15"/>
                      <w:rFonts w:hint="default" w:ascii="Times New Roman" w:hAnsi="Times New Roman" w:eastAsia="仿宋"/>
                      <w:color w:val="auto"/>
                      <w:sz w:val="21"/>
                      <w:szCs w:val="21"/>
                      <w:lang w:bidi="ar"/>
                    </w:rPr>
                    <w:t>拐点</w:t>
                  </w:r>
                  <w:r>
                    <w:rPr>
                      <w:rStyle w:val="19"/>
                      <w:rFonts w:ascii="Times New Roman" w:hAnsi="Times New Roman" w:eastAsia="仿宋" w:cs="Times New Roman"/>
                      <w:color w:val="auto"/>
                      <w:sz w:val="21"/>
                      <w:szCs w:val="21"/>
                      <w:lang w:bidi="ar"/>
                    </w:rPr>
                    <w:t>1</w:t>
                  </w:r>
                </w:p>
              </w:tc>
              <w:tc>
                <w:tcPr>
                  <w:tcW w:w="1605" w:type="dxa"/>
                  <w:tcBorders>
                    <w:tl2br w:val="nil"/>
                    <w:tr2bl w:val="nil"/>
                  </w:tcBorders>
                  <w:vAlign w:val="center"/>
                </w:tcPr>
                <w:p w14:paraId="5E7C424F">
                  <w:pPr>
                    <w:jc w:val="center"/>
                    <w:rPr>
                      <w:rFonts w:eastAsia="仿宋"/>
                      <w:color w:val="auto"/>
                      <w:sz w:val="21"/>
                      <w:szCs w:val="21"/>
                    </w:rPr>
                  </w:pPr>
                  <w:r>
                    <w:rPr>
                      <w:rStyle w:val="19"/>
                      <w:rFonts w:ascii="Times New Roman" w:hAnsi="Times New Roman" w:eastAsia="仿宋" w:cs="Times New Roman"/>
                      <w:color w:val="auto"/>
                      <w:sz w:val="21"/>
                      <w:szCs w:val="21"/>
                      <w:lang w:bidi="ar"/>
                    </w:rPr>
                    <w:t>119°37′49.236″</w:t>
                  </w:r>
                </w:p>
              </w:tc>
              <w:tc>
                <w:tcPr>
                  <w:tcW w:w="1518" w:type="dxa"/>
                  <w:tcBorders>
                    <w:tl2br w:val="nil"/>
                    <w:tr2bl w:val="nil"/>
                  </w:tcBorders>
                  <w:vAlign w:val="center"/>
                </w:tcPr>
                <w:p w14:paraId="3EDDC103">
                  <w:pPr>
                    <w:jc w:val="center"/>
                    <w:rPr>
                      <w:rFonts w:eastAsia="仿宋"/>
                      <w:color w:val="auto"/>
                      <w:sz w:val="21"/>
                      <w:szCs w:val="21"/>
                    </w:rPr>
                  </w:pPr>
                  <w:r>
                    <w:rPr>
                      <w:rStyle w:val="19"/>
                      <w:rFonts w:ascii="Times New Roman" w:hAnsi="Times New Roman" w:eastAsia="仿宋" w:cs="Times New Roman"/>
                      <w:color w:val="auto"/>
                      <w:sz w:val="21"/>
                      <w:szCs w:val="21"/>
                      <w:lang w:bidi="ar"/>
                    </w:rPr>
                    <w:t>34°33′4.731″</w:t>
                  </w:r>
                </w:p>
              </w:tc>
              <w:tc>
                <w:tcPr>
                  <w:tcW w:w="992" w:type="dxa"/>
                  <w:vMerge w:val="continue"/>
                  <w:tcBorders>
                    <w:tl2br w:val="nil"/>
                    <w:tr2bl w:val="nil"/>
                  </w:tcBorders>
                  <w:vAlign w:val="center"/>
                </w:tcPr>
                <w:p w14:paraId="392CE68A">
                  <w:pPr>
                    <w:jc w:val="center"/>
                    <w:rPr>
                      <w:rFonts w:eastAsia="仿宋"/>
                      <w:color w:val="auto"/>
                      <w:sz w:val="21"/>
                      <w:szCs w:val="21"/>
                    </w:rPr>
                  </w:pPr>
                </w:p>
              </w:tc>
              <w:tc>
                <w:tcPr>
                  <w:tcW w:w="992" w:type="dxa"/>
                  <w:vMerge w:val="continue"/>
                  <w:tcBorders>
                    <w:tl2br w:val="nil"/>
                    <w:tr2bl w:val="nil"/>
                  </w:tcBorders>
                  <w:vAlign w:val="center"/>
                </w:tcPr>
                <w:p w14:paraId="56100745">
                  <w:pPr>
                    <w:jc w:val="center"/>
                    <w:rPr>
                      <w:rFonts w:eastAsia="仿宋"/>
                      <w:color w:val="auto"/>
                      <w:sz w:val="21"/>
                      <w:szCs w:val="21"/>
                    </w:rPr>
                  </w:pPr>
                </w:p>
              </w:tc>
              <w:tc>
                <w:tcPr>
                  <w:tcW w:w="1116" w:type="dxa"/>
                  <w:vMerge w:val="continue"/>
                  <w:tcBorders>
                    <w:tl2br w:val="nil"/>
                    <w:tr2bl w:val="nil"/>
                  </w:tcBorders>
                  <w:vAlign w:val="center"/>
                </w:tcPr>
                <w:p w14:paraId="0E6C3A38">
                  <w:pPr>
                    <w:jc w:val="center"/>
                    <w:rPr>
                      <w:rFonts w:eastAsia="仿宋"/>
                      <w:color w:val="auto"/>
                      <w:sz w:val="21"/>
                      <w:szCs w:val="21"/>
                    </w:rPr>
                  </w:pPr>
                </w:p>
              </w:tc>
            </w:tr>
            <w:tr w14:paraId="333D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Merge w:val="continue"/>
                  <w:tcBorders>
                    <w:tl2br w:val="nil"/>
                    <w:tr2bl w:val="nil"/>
                  </w:tcBorders>
                  <w:vAlign w:val="center"/>
                </w:tcPr>
                <w:p w14:paraId="33803C91">
                  <w:pPr>
                    <w:rPr>
                      <w:rFonts w:eastAsia="仿宋"/>
                      <w:color w:val="auto"/>
                      <w:sz w:val="21"/>
                      <w:szCs w:val="21"/>
                    </w:rPr>
                  </w:pPr>
                </w:p>
              </w:tc>
              <w:tc>
                <w:tcPr>
                  <w:tcW w:w="1178" w:type="dxa"/>
                  <w:vMerge w:val="continue"/>
                  <w:tcBorders>
                    <w:tl2br w:val="nil"/>
                    <w:tr2bl w:val="nil"/>
                  </w:tcBorders>
                  <w:vAlign w:val="center"/>
                </w:tcPr>
                <w:p w14:paraId="262D8306">
                  <w:pPr>
                    <w:jc w:val="center"/>
                    <w:rPr>
                      <w:rFonts w:eastAsia="仿宋"/>
                      <w:color w:val="auto"/>
                      <w:sz w:val="21"/>
                      <w:szCs w:val="21"/>
                    </w:rPr>
                  </w:pPr>
                </w:p>
              </w:tc>
              <w:tc>
                <w:tcPr>
                  <w:tcW w:w="785" w:type="dxa"/>
                  <w:tcBorders>
                    <w:tl2br w:val="nil"/>
                    <w:tr2bl w:val="nil"/>
                  </w:tcBorders>
                  <w:vAlign w:val="center"/>
                </w:tcPr>
                <w:p w14:paraId="66D8106E">
                  <w:pPr>
                    <w:jc w:val="center"/>
                    <w:rPr>
                      <w:rFonts w:eastAsia="仿宋"/>
                      <w:color w:val="auto"/>
                      <w:sz w:val="21"/>
                      <w:szCs w:val="21"/>
                    </w:rPr>
                  </w:pPr>
                  <w:r>
                    <w:rPr>
                      <w:rStyle w:val="15"/>
                      <w:rFonts w:hint="default" w:ascii="Times New Roman" w:hAnsi="Times New Roman" w:eastAsia="仿宋"/>
                      <w:color w:val="auto"/>
                      <w:sz w:val="21"/>
                      <w:szCs w:val="21"/>
                      <w:lang w:bidi="ar"/>
                    </w:rPr>
                    <w:t>拐点</w:t>
                  </w:r>
                  <w:r>
                    <w:rPr>
                      <w:rStyle w:val="19"/>
                      <w:rFonts w:ascii="Times New Roman" w:hAnsi="Times New Roman" w:eastAsia="仿宋" w:cs="Times New Roman"/>
                      <w:color w:val="auto"/>
                      <w:sz w:val="21"/>
                      <w:szCs w:val="21"/>
                      <w:lang w:bidi="ar"/>
                    </w:rPr>
                    <w:t>2</w:t>
                  </w:r>
                </w:p>
              </w:tc>
              <w:tc>
                <w:tcPr>
                  <w:tcW w:w="1605" w:type="dxa"/>
                  <w:tcBorders>
                    <w:tl2br w:val="nil"/>
                    <w:tr2bl w:val="nil"/>
                  </w:tcBorders>
                  <w:vAlign w:val="center"/>
                </w:tcPr>
                <w:p w14:paraId="0185B572">
                  <w:pPr>
                    <w:jc w:val="center"/>
                    <w:rPr>
                      <w:rFonts w:eastAsia="仿宋"/>
                      <w:color w:val="auto"/>
                      <w:sz w:val="21"/>
                      <w:szCs w:val="21"/>
                    </w:rPr>
                  </w:pPr>
                  <w:r>
                    <w:rPr>
                      <w:rStyle w:val="19"/>
                      <w:rFonts w:ascii="Times New Roman" w:hAnsi="Times New Roman" w:eastAsia="仿宋" w:cs="Times New Roman"/>
                      <w:color w:val="auto"/>
                      <w:sz w:val="21"/>
                      <w:szCs w:val="21"/>
                      <w:lang w:bidi="ar"/>
                    </w:rPr>
                    <w:t>119°37′35.686″</w:t>
                  </w:r>
                </w:p>
              </w:tc>
              <w:tc>
                <w:tcPr>
                  <w:tcW w:w="1518" w:type="dxa"/>
                  <w:tcBorders>
                    <w:tl2br w:val="nil"/>
                    <w:tr2bl w:val="nil"/>
                  </w:tcBorders>
                  <w:vAlign w:val="center"/>
                </w:tcPr>
                <w:p w14:paraId="11337FE9">
                  <w:pPr>
                    <w:jc w:val="center"/>
                    <w:rPr>
                      <w:rFonts w:eastAsia="仿宋"/>
                      <w:color w:val="auto"/>
                      <w:sz w:val="21"/>
                      <w:szCs w:val="21"/>
                    </w:rPr>
                  </w:pPr>
                  <w:r>
                    <w:rPr>
                      <w:rStyle w:val="19"/>
                      <w:rFonts w:ascii="Times New Roman" w:hAnsi="Times New Roman" w:eastAsia="仿宋" w:cs="Times New Roman"/>
                      <w:color w:val="auto"/>
                      <w:sz w:val="21"/>
                      <w:szCs w:val="21"/>
                      <w:lang w:bidi="ar"/>
                    </w:rPr>
                    <w:t>34°32′48.030″</w:t>
                  </w:r>
                </w:p>
              </w:tc>
              <w:tc>
                <w:tcPr>
                  <w:tcW w:w="992" w:type="dxa"/>
                  <w:vMerge w:val="continue"/>
                  <w:tcBorders>
                    <w:tl2br w:val="nil"/>
                    <w:tr2bl w:val="nil"/>
                  </w:tcBorders>
                  <w:vAlign w:val="center"/>
                </w:tcPr>
                <w:p w14:paraId="7725BA8C">
                  <w:pPr>
                    <w:jc w:val="center"/>
                    <w:rPr>
                      <w:rFonts w:eastAsia="仿宋"/>
                      <w:color w:val="auto"/>
                      <w:sz w:val="21"/>
                      <w:szCs w:val="21"/>
                    </w:rPr>
                  </w:pPr>
                </w:p>
              </w:tc>
              <w:tc>
                <w:tcPr>
                  <w:tcW w:w="992" w:type="dxa"/>
                  <w:vMerge w:val="continue"/>
                  <w:tcBorders>
                    <w:tl2br w:val="nil"/>
                    <w:tr2bl w:val="nil"/>
                  </w:tcBorders>
                  <w:vAlign w:val="center"/>
                </w:tcPr>
                <w:p w14:paraId="0E4ECDF8">
                  <w:pPr>
                    <w:jc w:val="center"/>
                    <w:rPr>
                      <w:rFonts w:eastAsia="仿宋"/>
                      <w:color w:val="auto"/>
                      <w:sz w:val="21"/>
                      <w:szCs w:val="21"/>
                    </w:rPr>
                  </w:pPr>
                </w:p>
              </w:tc>
              <w:tc>
                <w:tcPr>
                  <w:tcW w:w="1116" w:type="dxa"/>
                  <w:vMerge w:val="continue"/>
                  <w:tcBorders>
                    <w:tl2br w:val="nil"/>
                    <w:tr2bl w:val="nil"/>
                  </w:tcBorders>
                  <w:vAlign w:val="center"/>
                </w:tcPr>
                <w:p w14:paraId="43B5FE92">
                  <w:pPr>
                    <w:jc w:val="center"/>
                    <w:rPr>
                      <w:rFonts w:eastAsia="仿宋"/>
                      <w:color w:val="auto"/>
                      <w:sz w:val="21"/>
                      <w:szCs w:val="21"/>
                    </w:rPr>
                  </w:pPr>
                </w:p>
              </w:tc>
            </w:tr>
            <w:tr w14:paraId="69662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Merge w:val="continue"/>
                  <w:tcBorders>
                    <w:tl2br w:val="nil"/>
                    <w:tr2bl w:val="nil"/>
                  </w:tcBorders>
                  <w:vAlign w:val="center"/>
                </w:tcPr>
                <w:p w14:paraId="6ED2A776">
                  <w:pPr>
                    <w:rPr>
                      <w:rFonts w:eastAsia="仿宋"/>
                      <w:color w:val="auto"/>
                      <w:sz w:val="21"/>
                      <w:szCs w:val="21"/>
                    </w:rPr>
                  </w:pPr>
                </w:p>
              </w:tc>
              <w:tc>
                <w:tcPr>
                  <w:tcW w:w="1178" w:type="dxa"/>
                  <w:vMerge w:val="continue"/>
                  <w:tcBorders>
                    <w:tl2br w:val="nil"/>
                    <w:tr2bl w:val="nil"/>
                  </w:tcBorders>
                  <w:vAlign w:val="center"/>
                </w:tcPr>
                <w:p w14:paraId="7C60D451">
                  <w:pPr>
                    <w:jc w:val="center"/>
                    <w:rPr>
                      <w:rFonts w:eastAsia="仿宋"/>
                      <w:color w:val="auto"/>
                      <w:sz w:val="21"/>
                      <w:szCs w:val="21"/>
                    </w:rPr>
                  </w:pPr>
                </w:p>
              </w:tc>
              <w:tc>
                <w:tcPr>
                  <w:tcW w:w="785" w:type="dxa"/>
                  <w:tcBorders>
                    <w:tl2br w:val="nil"/>
                    <w:tr2bl w:val="nil"/>
                  </w:tcBorders>
                  <w:vAlign w:val="center"/>
                </w:tcPr>
                <w:p w14:paraId="1246CC08">
                  <w:pPr>
                    <w:jc w:val="center"/>
                    <w:rPr>
                      <w:rFonts w:eastAsia="仿宋"/>
                      <w:color w:val="auto"/>
                      <w:sz w:val="21"/>
                      <w:szCs w:val="21"/>
                    </w:rPr>
                  </w:pPr>
                  <w:r>
                    <w:rPr>
                      <w:rStyle w:val="15"/>
                      <w:rFonts w:hint="default" w:ascii="Times New Roman" w:hAnsi="Times New Roman" w:eastAsia="仿宋"/>
                      <w:color w:val="auto"/>
                      <w:sz w:val="21"/>
                      <w:szCs w:val="21"/>
                      <w:lang w:bidi="ar"/>
                    </w:rPr>
                    <w:t>拐点</w:t>
                  </w:r>
                  <w:r>
                    <w:rPr>
                      <w:rStyle w:val="19"/>
                      <w:rFonts w:ascii="Times New Roman" w:hAnsi="Times New Roman" w:eastAsia="仿宋" w:cs="Times New Roman"/>
                      <w:color w:val="auto"/>
                      <w:sz w:val="21"/>
                      <w:szCs w:val="21"/>
                      <w:lang w:bidi="ar"/>
                    </w:rPr>
                    <w:t>3</w:t>
                  </w:r>
                </w:p>
              </w:tc>
              <w:tc>
                <w:tcPr>
                  <w:tcW w:w="1605" w:type="dxa"/>
                  <w:tcBorders>
                    <w:tl2br w:val="nil"/>
                    <w:tr2bl w:val="nil"/>
                  </w:tcBorders>
                  <w:vAlign w:val="center"/>
                </w:tcPr>
                <w:p w14:paraId="424B8177">
                  <w:pPr>
                    <w:jc w:val="center"/>
                    <w:rPr>
                      <w:rFonts w:eastAsia="仿宋"/>
                      <w:color w:val="auto"/>
                      <w:sz w:val="21"/>
                      <w:szCs w:val="21"/>
                    </w:rPr>
                  </w:pPr>
                  <w:r>
                    <w:rPr>
                      <w:rStyle w:val="19"/>
                      <w:rFonts w:ascii="Times New Roman" w:hAnsi="Times New Roman" w:eastAsia="仿宋" w:cs="Times New Roman"/>
                      <w:color w:val="auto"/>
                      <w:sz w:val="21"/>
                      <w:szCs w:val="21"/>
                      <w:lang w:bidi="ar"/>
                    </w:rPr>
                    <w:t>119°37′47.765″</w:t>
                  </w:r>
                </w:p>
              </w:tc>
              <w:tc>
                <w:tcPr>
                  <w:tcW w:w="1518" w:type="dxa"/>
                  <w:tcBorders>
                    <w:tl2br w:val="nil"/>
                    <w:tr2bl w:val="nil"/>
                  </w:tcBorders>
                  <w:vAlign w:val="center"/>
                </w:tcPr>
                <w:p w14:paraId="71C0B1BF">
                  <w:pPr>
                    <w:jc w:val="center"/>
                    <w:rPr>
                      <w:rFonts w:eastAsia="仿宋"/>
                      <w:color w:val="auto"/>
                      <w:sz w:val="21"/>
                      <w:szCs w:val="21"/>
                    </w:rPr>
                  </w:pPr>
                  <w:r>
                    <w:rPr>
                      <w:rStyle w:val="19"/>
                      <w:rFonts w:ascii="Times New Roman" w:hAnsi="Times New Roman" w:eastAsia="仿宋" w:cs="Times New Roman"/>
                      <w:color w:val="auto"/>
                      <w:sz w:val="21"/>
                      <w:szCs w:val="21"/>
                      <w:lang w:bidi="ar"/>
                    </w:rPr>
                    <w:t>34°32′41.517″</w:t>
                  </w:r>
                </w:p>
              </w:tc>
              <w:tc>
                <w:tcPr>
                  <w:tcW w:w="992" w:type="dxa"/>
                  <w:vMerge w:val="continue"/>
                  <w:tcBorders>
                    <w:tl2br w:val="nil"/>
                    <w:tr2bl w:val="nil"/>
                  </w:tcBorders>
                  <w:vAlign w:val="center"/>
                </w:tcPr>
                <w:p w14:paraId="6442FAB7">
                  <w:pPr>
                    <w:jc w:val="center"/>
                    <w:rPr>
                      <w:rFonts w:eastAsia="仿宋"/>
                      <w:color w:val="auto"/>
                      <w:sz w:val="21"/>
                      <w:szCs w:val="21"/>
                    </w:rPr>
                  </w:pPr>
                </w:p>
              </w:tc>
              <w:tc>
                <w:tcPr>
                  <w:tcW w:w="992" w:type="dxa"/>
                  <w:vMerge w:val="continue"/>
                  <w:tcBorders>
                    <w:tl2br w:val="nil"/>
                    <w:tr2bl w:val="nil"/>
                  </w:tcBorders>
                  <w:vAlign w:val="center"/>
                </w:tcPr>
                <w:p w14:paraId="06187D68">
                  <w:pPr>
                    <w:jc w:val="center"/>
                    <w:rPr>
                      <w:rFonts w:eastAsia="仿宋"/>
                      <w:color w:val="auto"/>
                      <w:sz w:val="21"/>
                      <w:szCs w:val="21"/>
                    </w:rPr>
                  </w:pPr>
                </w:p>
              </w:tc>
              <w:tc>
                <w:tcPr>
                  <w:tcW w:w="1116" w:type="dxa"/>
                  <w:vMerge w:val="continue"/>
                  <w:tcBorders>
                    <w:tl2br w:val="nil"/>
                    <w:tr2bl w:val="nil"/>
                  </w:tcBorders>
                  <w:vAlign w:val="center"/>
                </w:tcPr>
                <w:p w14:paraId="10E0D3B1">
                  <w:pPr>
                    <w:jc w:val="center"/>
                    <w:rPr>
                      <w:rFonts w:eastAsia="仿宋"/>
                      <w:color w:val="auto"/>
                      <w:sz w:val="21"/>
                      <w:szCs w:val="21"/>
                    </w:rPr>
                  </w:pPr>
                </w:p>
              </w:tc>
            </w:tr>
            <w:tr w14:paraId="098F8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Merge w:val="continue"/>
                  <w:tcBorders>
                    <w:tl2br w:val="nil"/>
                    <w:tr2bl w:val="nil"/>
                  </w:tcBorders>
                  <w:vAlign w:val="center"/>
                </w:tcPr>
                <w:p w14:paraId="754FA0AA">
                  <w:pPr>
                    <w:rPr>
                      <w:rFonts w:eastAsia="仿宋"/>
                      <w:color w:val="auto"/>
                      <w:sz w:val="21"/>
                      <w:szCs w:val="21"/>
                    </w:rPr>
                  </w:pPr>
                </w:p>
              </w:tc>
              <w:tc>
                <w:tcPr>
                  <w:tcW w:w="1178" w:type="dxa"/>
                  <w:vMerge w:val="continue"/>
                  <w:tcBorders>
                    <w:tl2br w:val="nil"/>
                    <w:tr2bl w:val="nil"/>
                  </w:tcBorders>
                  <w:vAlign w:val="center"/>
                </w:tcPr>
                <w:p w14:paraId="789019E3">
                  <w:pPr>
                    <w:jc w:val="center"/>
                    <w:rPr>
                      <w:rFonts w:eastAsia="仿宋"/>
                      <w:color w:val="auto"/>
                      <w:sz w:val="21"/>
                      <w:szCs w:val="21"/>
                    </w:rPr>
                  </w:pPr>
                </w:p>
              </w:tc>
              <w:tc>
                <w:tcPr>
                  <w:tcW w:w="785" w:type="dxa"/>
                  <w:tcBorders>
                    <w:tl2br w:val="nil"/>
                    <w:tr2bl w:val="nil"/>
                  </w:tcBorders>
                  <w:vAlign w:val="center"/>
                </w:tcPr>
                <w:p w14:paraId="420605BD">
                  <w:pPr>
                    <w:jc w:val="center"/>
                    <w:rPr>
                      <w:rFonts w:eastAsia="仿宋"/>
                      <w:color w:val="auto"/>
                      <w:sz w:val="21"/>
                      <w:szCs w:val="21"/>
                    </w:rPr>
                  </w:pPr>
                  <w:r>
                    <w:rPr>
                      <w:rStyle w:val="15"/>
                      <w:rFonts w:hint="default" w:ascii="Times New Roman" w:hAnsi="Times New Roman" w:eastAsia="仿宋"/>
                      <w:color w:val="auto"/>
                      <w:sz w:val="21"/>
                      <w:szCs w:val="21"/>
                      <w:lang w:bidi="ar"/>
                    </w:rPr>
                    <w:t>拐点</w:t>
                  </w:r>
                  <w:r>
                    <w:rPr>
                      <w:rStyle w:val="19"/>
                      <w:rFonts w:ascii="Times New Roman" w:hAnsi="Times New Roman" w:eastAsia="仿宋" w:cs="Times New Roman"/>
                      <w:color w:val="auto"/>
                      <w:sz w:val="21"/>
                      <w:szCs w:val="21"/>
                      <w:lang w:bidi="ar"/>
                    </w:rPr>
                    <w:t>4</w:t>
                  </w:r>
                </w:p>
              </w:tc>
              <w:tc>
                <w:tcPr>
                  <w:tcW w:w="1605" w:type="dxa"/>
                  <w:tcBorders>
                    <w:tl2br w:val="nil"/>
                    <w:tr2bl w:val="nil"/>
                  </w:tcBorders>
                  <w:vAlign w:val="center"/>
                </w:tcPr>
                <w:p w14:paraId="2B345C17">
                  <w:pPr>
                    <w:jc w:val="center"/>
                    <w:rPr>
                      <w:rFonts w:eastAsia="仿宋"/>
                      <w:color w:val="auto"/>
                      <w:sz w:val="21"/>
                      <w:szCs w:val="21"/>
                    </w:rPr>
                  </w:pPr>
                  <w:r>
                    <w:rPr>
                      <w:rStyle w:val="19"/>
                      <w:rFonts w:ascii="Times New Roman" w:hAnsi="Times New Roman" w:eastAsia="仿宋" w:cs="Times New Roman"/>
                      <w:color w:val="auto"/>
                      <w:sz w:val="21"/>
                      <w:szCs w:val="21"/>
                      <w:lang w:bidi="ar"/>
                    </w:rPr>
                    <w:t>119°37′48.169″</w:t>
                  </w:r>
                </w:p>
              </w:tc>
              <w:tc>
                <w:tcPr>
                  <w:tcW w:w="1518" w:type="dxa"/>
                  <w:tcBorders>
                    <w:tl2br w:val="nil"/>
                    <w:tr2bl w:val="nil"/>
                  </w:tcBorders>
                  <w:vAlign w:val="center"/>
                </w:tcPr>
                <w:p w14:paraId="40FFF0E7">
                  <w:pPr>
                    <w:jc w:val="center"/>
                    <w:rPr>
                      <w:rFonts w:eastAsia="仿宋"/>
                      <w:color w:val="auto"/>
                      <w:sz w:val="21"/>
                      <w:szCs w:val="21"/>
                    </w:rPr>
                  </w:pPr>
                  <w:r>
                    <w:rPr>
                      <w:rStyle w:val="19"/>
                      <w:rFonts w:ascii="Times New Roman" w:hAnsi="Times New Roman" w:eastAsia="仿宋" w:cs="Times New Roman"/>
                      <w:color w:val="auto"/>
                      <w:sz w:val="21"/>
                      <w:szCs w:val="21"/>
                      <w:lang w:bidi="ar"/>
                    </w:rPr>
                    <w:t>34°32′38.654″</w:t>
                  </w:r>
                </w:p>
              </w:tc>
              <w:tc>
                <w:tcPr>
                  <w:tcW w:w="992" w:type="dxa"/>
                  <w:vMerge w:val="continue"/>
                  <w:tcBorders>
                    <w:tl2br w:val="nil"/>
                    <w:tr2bl w:val="nil"/>
                  </w:tcBorders>
                  <w:vAlign w:val="center"/>
                </w:tcPr>
                <w:p w14:paraId="4FDDA33B">
                  <w:pPr>
                    <w:jc w:val="center"/>
                    <w:rPr>
                      <w:rFonts w:eastAsia="仿宋"/>
                      <w:color w:val="auto"/>
                      <w:sz w:val="21"/>
                      <w:szCs w:val="21"/>
                    </w:rPr>
                  </w:pPr>
                </w:p>
              </w:tc>
              <w:tc>
                <w:tcPr>
                  <w:tcW w:w="992" w:type="dxa"/>
                  <w:vMerge w:val="continue"/>
                  <w:tcBorders>
                    <w:tl2br w:val="nil"/>
                    <w:tr2bl w:val="nil"/>
                  </w:tcBorders>
                  <w:vAlign w:val="center"/>
                </w:tcPr>
                <w:p w14:paraId="69437434">
                  <w:pPr>
                    <w:jc w:val="center"/>
                    <w:rPr>
                      <w:rFonts w:eastAsia="仿宋"/>
                      <w:color w:val="auto"/>
                      <w:sz w:val="21"/>
                      <w:szCs w:val="21"/>
                    </w:rPr>
                  </w:pPr>
                </w:p>
              </w:tc>
              <w:tc>
                <w:tcPr>
                  <w:tcW w:w="1116" w:type="dxa"/>
                  <w:vMerge w:val="continue"/>
                  <w:tcBorders>
                    <w:tl2br w:val="nil"/>
                    <w:tr2bl w:val="nil"/>
                  </w:tcBorders>
                  <w:vAlign w:val="center"/>
                </w:tcPr>
                <w:p w14:paraId="118D78D8">
                  <w:pPr>
                    <w:jc w:val="center"/>
                    <w:rPr>
                      <w:rFonts w:eastAsia="仿宋"/>
                      <w:color w:val="auto"/>
                      <w:sz w:val="21"/>
                      <w:szCs w:val="21"/>
                    </w:rPr>
                  </w:pPr>
                </w:p>
              </w:tc>
            </w:tr>
            <w:tr w14:paraId="1C0DA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Merge w:val="continue"/>
                  <w:tcBorders>
                    <w:tl2br w:val="nil"/>
                    <w:tr2bl w:val="nil"/>
                  </w:tcBorders>
                  <w:vAlign w:val="center"/>
                </w:tcPr>
                <w:p w14:paraId="59C36AEC">
                  <w:pPr>
                    <w:rPr>
                      <w:rFonts w:eastAsia="仿宋"/>
                      <w:color w:val="auto"/>
                      <w:sz w:val="21"/>
                      <w:szCs w:val="21"/>
                    </w:rPr>
                  </w:pPr>
                </w:p>
              </w:tc>
              <w:tc>
                <w:tcPr>
                  <w:tcW w:w="1178" w:type="dxa"/>
                  <w:vMerge w:val="continue"/>
                  <w:tcBorders>
                    <w:tl2br w:val="nil"/>
                    <w:tr2bl w:val="nil"/>
                  </w:tcBorders>
                  <w:vAlign w:val="center"/>
                </w:tcPr>
                <w:p w14:paraId="76B261B1">
                  <w:pPr>
                    <w:jc w:val="center"/>
                    <w:rPr>
                      <w:rFonts w:eastAsia="仿宋"/>
                      <w:color w:val="auto"/>
                      <w:sz w:val="21"/>
                      <w:szCs w:val="21"/>
                    </w:rPr>
                  </w:pPr>
                </w:p>
              </w:tc>
              <w:tc>
                <w:tcPr>
                  <w:tcW w:w="785" w:type="dxa"/>
                  <w:tcBorders>
                    <w:tl2br w:val="nil"/>
                    <w:tr2bl w:val="nil"/>
                  </w:tcBorders>
                  <w:vAlign w:val="center"/>
                </w:tcPr>
                <w:p w14:paraId="4A9021D0">
                  <w:pPr>
                    <w:jc w:val="center"/>
                    <w:rPr>
                      <w:rFonts w:eastAsia="仿宋"/>
                      <w:color w:val="auto"/>
                      <w:sz w:val="21"/>
                      <w:szCs w:val="21"/>
                    </w:rPr>
                  </w:pPr>
                  <w:r>
                    <w:rPr>
                      <w:rStyle w:val="15"/>
                      <w:rFonts w:hint="default" w:ascii="Times New Roman" w:hAnsi="Times New Roman" w:eastAsia="仿宋"/>
                      <w:color w:val="auto"/>
                      <w:sz w:val="21"/>
                      <w:szCs w:val="21"/>
                      <w:lang w:bidi="ar"/>
                    </w:rPr>
                    <w:t>终点</w:t>
                  </w:r>
                </w:p>
              </w:tc>
              <w:tc>
                <w:tcPr>
                  <w:tcW w:w="1605" w:type="dxa"/>
                  <w:tcBorders>
                    <w:tl2br w:val="nil"/>
                    <w:tr2bl w:val="nil"/>
                  </w:tcBorders>
                  <w:vAlign w:val="center"/>
                </w:tcPr>
                <w:p w14:paraId="2876F77F">
                  <w:pPr>
                    <w:jc w:val="center"/>
                    <w:rPr>
                      <w:rFonts w:eastAsia="仿宋"/>
                      <w:color w:val="auto"/>
                      <w:sz w:val="21"/>
                      <w:szCs w:val="21"/>
                    </w:rPr>
                  </w:pPr>
                  <w:r>
                    <w:rPr>
                      <w:rStyle w:val="19"/>
                      <w:rFonts w:ascii="Times New Roman" w:hAnsi="Times New Roman" w:eastAsia="仿宋" w:cs="Times New Roman"/>
                      <w:color w:val="auto"/>
                      <w:sz w:val="21"/>
                      <w:szCs w:val="21"/>
                      <w:lang w:bidi="ar"/>
                    </w:rPr>
                    <w:t>119°37′33.083″</w:t>
                  </w:r>
                </w:p>
              </w:tc>
              <w:tc>
                <w:tcPr>
                  <w:tcW w:w="1518" w:type="dxa"/>
                  <w:tcBorders>
                    <w:tl2br w:val="nil"/>
                    <w:tr2bl w:val="nil"/>
                  </w:tcBorders>
                  <w:vAlign w:val="center"/>
                </w:tcPr>
                <w:p w14:paraId="3478D1AE">
                  <w:pPr>
                    <w:jc w:val="center"/>
                    <w:rPr>
                      <w:rFonts w:eastAsia="仿宋"/>
                      <w:color w:val="auto"/>
                      <w:sz w:val="21"/>
                      <w:szCs w:val="21"/>
                    </w:rPr>
                  </w:pPr>
                  <w:r>
                    <w:rPr>
                      <w:rStyle w:val="19"/>
                      <w:rFonts w:ascii="Times New Roman" w:hAnsi="Times New Roman" w:eastAsia="仿宋" w:cs="Times New Roman"/>
                      <w:color w:val="auto"/>
                      <w:sz w:val="21"/>
                      <w:szCs w:val="21"/>
                      <w:lang w:bidi="ar"/>
                    </w:rPr>
                    <w:t>34°32′21.459″</w:t>
                  </w:r>
                </w:p>
              </w:tc>
              <w:tc>
                <w:tcPr>
                  <w:tcW w:w="992" w:type="dxa"/>
                  <w:vMerge w:val="continue"/>
                  <w:tcBorders>
                    <w:tl2br w:val="nil"/>
                    <w:tr2bl w:val="nil"/>
                  </w:tcBorders>
                  <w:vAlign w:val="center"/>
                </w:tcPr>
                <w:p w14:paraId="20D41EB1">
                  <w:pPr>
                    <w:jc w:val="center"/>
                    <w:rPr>
                      <w:rFonts w:eastAsia="仿宋"/>
                      <w:color w:val="auto"/>
                      <w:sz w:val="21"/>
                      <w:szCs w:val="21"/>
                    </w:rPr>
                  </w:pPr>
                </w:p>
              </w:tc>
              <w:tc>
                <w:tcPr>
                  <w:tcW w:w="992" w:type="dxa"/>
                  <w:vMerge w:val="continue"/>
                  <w:tcBorders>
                    <w:tl2br w:val="nil"/>
                    <w:tr2bl w:val="nil"/>
                  </w:tcBorders>
                  <w:vAlign w:val="center"/>
                </w:tcPr>
                <w:p w14:paraId="17449433">
                  <w:pPr>
                    <w:jc w:val="center"/>
                    <w:rPr>
                      <w:rFonts w:eastAsia="仿宋"/>
                      <w:color w:val="auto"/>
                      <w:sz w:val="21"/>
                      <w:szCs w:val="21"/>
                    </w:rPr>
                  </w:pPr>
                </w:p>
              </w:tc>
              <w:tc>
                <w:tcPr>
                  <w:tcW w:w="1116" w:type="dxa"/>
                  <w:vMerge w:val="continue"/>
                  <w:tcBorders>
                    <w:tl2br w:val="nil"/>
                    <w:tr2bl w:val="nil"/>
                  </w:tcBorders>
                  <w:vAlign w:val="center"/>
                </w:tcPr>
                <w:p w14:paraId="65F970A2">
                  <w:pPr>
                    <w:jc w:val="center"/>
                    <w:rPr>
                      <w:rFonts w:eastAsia="仿宋"/>
                      <w:color w:val="auto"/>
                      <w:sz w:val="21"/>
                      <w:szCs w:val="21"/>
                    </w:rPr>
                  </w:pPr>
                </w:p>
              </w:tc>
            </w:tr>
            <w:tr w14:paraId="4225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771" w:type="dxa"/>
                  <w:vMerge w:val="restart"/>
                  <w:tcBorders>
                    <w:tl2br w:val="nil"/>
                    <w:tr2bl w:val="nil"/>
                  </w:tcBorders>
                  <w:vAlign w:val="center"/>
                </w:tcPr>
                <w:p w14:paraId="5747B1C1">
                  <w:pPr>
                    <w:jc w:val="center"/>
                    <w:rPr>
                      <w:rFonts w:hint="eastAsia" w:eastAsia="仿宋"/>
                      <w:color w:val="auto"/>
                      <w:sz w:val="21"/>
                      <w:szCs w:val="21"/>
                      <w:lang w:eastAsia="zh-CN"/>
                    </w:rPr>
                  </w:pPr>
                  <w:r>
                    <w:rPr>
                      <w:rStyle w:val="19"/>
                      <w:rFonts w:hint="eastAsia" w:eastAsia="仿宋" w:cs="Times New Roman"/>
                      <w:color w:val="auto"/>
                      <w:sz w:val="21"/>
                      <w:szCs w:val="21"/>
                      <w:lang w:val="en-US" w:eastAsia="zh-CN" w:bidi="ar"/>
                    </w:rPr>
                    <w:t>2</w:t>
                  </w:r>
                </w:p>
              </w:tc>
              <w:tc>
                <w:tcPr>
                  <w:tcW w:w="1178" w:type="dxa"/>
                  <w:vMerge w:val="restart"/>
                  <w:tcBorders>
                    <w:tl2br w:val="nil"/>
                    <w:tr2bl w:val="nil"/>
                  </w:tcBorders>
                  <w:vAlign w:val="center"/>
                </w:tcPr>
                <w:p w14:paraId="3A51D6F7">
                  <w:pPr>
                    <w:jc w:val="center"/>
                    <w:rPr>
                      <w:rFonts w:eastAsia="仿宋"/>
                      <w:color w:val="auto"/>
                      <w:sz w:val="21"/>
                      <w:szCs w:val="21"/>
                    </w:rPr>
                  </w:pPr>
                  <w:r>
                    <w:rPr>
                      <w:rStyle w:val="15"/>
                      <w:rFonts w:hint="default" w:ascii="Times New Roman" w:hAnsi="Times New Roman" w:eastAsia="仿宋"/>
                      <w:color w:val="auto"/>
                      <w:sz w:val="21"/>
                      <w:szCs w:val="21"/>
                      <w:lang w:bidi="ar"/>
                    </w:rPr>
                    <w:t>丙酮输送管线（荣泰仓储</w:t>
                  </w:r>
                  <w:r>
                    <w:rPr>
                      <w:rStyle w:val="19"/>
                      <w:rFonts w:ascii="Times New Roman" w:hAnsi="Times New Roman" w:eastAsia="仿宋" w:cs="Times New Roman"/>
                      <w:color w:val="auto"/>
                      <w:sz w:val="21"/>
                      <w:szCs w:val="21"/>
                      <w:lang w:bidi="ar"/>
                    </w:rPr>
                    <w:t>→</w:t>
                  </w:r>
                  <w:r>
                    <w:rPr>
                      <w:rStyle w:val="15"/>
                      <w:rFonts w:hint="default" w:ascii="Times New Roman" w:hAnsi="Times New Roman" w:eastAsia="仿宋"/>
                      <w:color w:val="auto"/>
                      <w:sz w:val="21"/>
                      <w:szCs w:val="21"/>
                      <w:lang w:bidi="ar"/>
                    </w:rPr>
                    <w:t>斯尔邦石化）</w:t>
                  </w:r>
                </w:p>
              </w:tc>
              <w:tc>
                <w:tcPr>
                  <w:tcW w:w="785" w:type="dxa"/>
                  <w:tcBorders>
                    <w:tl2br w:val="nil"/>
                    <w:tr2bl w:val="nil"/>
                  </w:tcBorders>
                  <w:vAlign w:val="center"/>
                </w:tcPr>
                <w:p w14:paraId="33B87F70">
                  <w:pPr>
                    <w:jc w:val="center"/>
                    <w:rPr>
                      <w:rFonts w:eastAsia="仿宋"/>
                      <w:color w:val="auto"/>
                      <w:sz w:val="21"/>
                      <w:szCs w:val="21"/>
                    </w:rPr>
                  </w:pPr>
                  <w:r>
                    <w:rPr>
                      <w:rStyle w:val="15"/>
                      <w:rFonts w:hint="default" w:ascii="Times New Roman" w:hAnsi="Times New Roman" w:eastAsia="仿宋"/>
                      <w:color w:val="auto"/>
                      <w:sz w:val="21"/>
                      <w:szCs w:val="21"/>
                      <w:lang w:bidi="ar"/>
                    </w:rPr>
                    <w:t>起点</w:t>
                  </w:r>
                </w:p>
              </w:tc>
              <w:tc>
                <w:tcPr>
                  <w:tcW w:w="1605" w:type="dxa"/>
                  <w:tcBorders>
                    <w:tl2br w:val="nil"/>
                    <w:tr2bl w:val="nil"/>
                  </w:tcBorders>
                  <w:vAlign w:val="center"/>
                </w:tcPr>
                <w:p w14:paraId="2B901228">
                  <w:pPr>
                    <w:jc w:val="center"/>
                    <w:rPr>
                      <w:rFonts w:eastAsia="仿宋"/>
                      <w:color w:val="auto"/>
                      <w:sz w:val="21"/>
                      <w:szCs w:val="21"/>
                    </w:rPr>
                  </w:pPr>
                  <w:r>
                    <w:rPr>
                      <w:rStyle w:val="19"/>
                      <w:rFonts w:ascii="Times New Roman" w:hAnsi="Times New Roman" w:eastAsia="仿宋" w:cs="Times New Roman"/>
                      <w:color w:val="auto"/>
                      <w:sz w:val="21"/>
                      <w:szCs w:val="21"/>
                      <w:lang w:bidi="ar"/>
                    </w:rPr>
                    <w:t>119°36′54.379″</w:t>
                  </w:r>
                </w:p>
              </w:tc>
              <w:tc>
                <w:tcPr>
                  <w:tcW w:w="1518" w:type="dxa"/>
                  <w:tcBorders>
                    <w:tl2br w:val="nil"/>
                    <w:tr2bl w:val="nil"/>
                  </w:tcBorders>
                  <w:vAlign w:val="center"/>
                </w:tcPr>
                <w:p w14:paraId="742A8D95">
                  <w:pPr>
                    <w:jc w:val="center"/>
                    <w:rPr>
                      <w:rStyle w:val="19"/>
                      <w:rFonts w:ascii="Times New Roman" w:hAnsi="Times New Roman" w:eastAsia="仿宋" w:cs="Times New Roman"/>
                      <w:color w:val="auto"/>
                      <w:sz w:val="21"/>
                      <w:szCs w:val="21"/>
                      <w:lang w:bidi="ar"/>
                    </w:rPr>
                  </w:pPr>
                  <w:r>
                    <w:rPr>
                      <w:rStyle w:val="19"/>
                      <w:rFonts w:ascii="Times New Roman" w:hAnsi="Times New Roman" w:eastAsia="仿宋" w:cs="Times New Roman"/>
                      <w:color w:val="auto"/>
                      <w:sz w:val="21"/>
                      <w:szCs w:val="21"/>
                      <w:lang w:bidi="ar"/>
                    </w:rPr>
                    <w:t>34°33′10.597″</w:t>
                  </w:r>
                </w:p>
              </w:tc>
              <w:tc>
                <w:tcPr>
                  <w:tcW w:w="992" w:type="dxa"/>
                  <w:vMerge w:val="restart"/>
                  <w:tcBorders>
                    <w:tl2br w:val="nil"/>
                    <w:tr2bl w:val="nil"/>
                  </w:tcBorders>
                  <w:vAlign w:val="center"/>
                </w:tcPr>
                <w:p w14:paraId="3C66F649">
                  <w:pPr>
                    <w:jc w:val="center"/>
                    <w:rPr>
                      <w:rFonts w:eastAsia="仿宋"/>
                      <w:color w:val="auto"/>
                      <w:sz w:val="21"/>
                      <w:szCs w:val="21"/>
                    </w:rPr>
                  </w:pPr>
                  <w:r>
                    <w:rPr>
                      <w:rStyle w:val="19"/>
                      <w:rFonts w:ascii="Times New Roman" w:hAnsi="Times New Roman" w:eastAsia="仿宋" w:cs="Times New Roman"/>
                      <w:color w:val="auto"/>
                      <w:sz w:val="21"/>
                      <w:szCs w:val="21"/>
                      <w:lang w:bidi="ar"/>
                    </w:rPr>
                    <w:t>470</w:t>
                  </w:r>
                </w:p>
              </w:tc>
              <w:tc>
                <w:tcPr>
                  <w:tcW w:w="992" w:type="dxa"/>
                  <w:vMerge w:val="restart"/>
                  <w:tcBorders>
                    <w:tl2br w:val="nil"/>
                    <w:tr2bl w:val="nil"/>
                  </w:tcBorders>
                  <w:vAlign w:val="center"/>
                </w:tcPr>
                <w:p w14:paraId="7C63101F">
                  <w:pPr>
                    <w:jc w:val="center"/>
                    <w:rPr>
                      <w:rFonts w:eastAsia="仿宋"/>
                      <w:color w:val="auto"/>
                      <w:sz w:val="21"/>
                      <w:szCs w:val="21"/>
                    </w:rPr>
                  </w:pPr>
                  <w:r>
                    <w:rPr>
                      <w:rStyle w:val="19"/>
                      <w:rFonts w:ascii="Times New Roman" w:hAnsi="Times New Roman" w:eastAsia="仿宋" w:cs="Times New Roman"/>
                      <w:color w:val="auto"/>
                      <w:sz w:val="21"/>
                      <w:szCs w:val="21"/>
                      <w:lang w:bidi="ar"/>
                    </w:rPr>
                    <w:t>DN80</w:t>
                  </w:r>
                </w:p>
              </w:tc>
              <w:tc>
                <w:tcPr>
                  <w:tcW w:w="1116" w:type="dxa"/>
                  <w:vMerge w:val="restart"/>
                  <w:tcBorders>
                    <w:tl2br w:val="nil"/>
                    <w:tr2bl w:val="nil"/>
                  </w:tcBorders>
                  <w:vAlign w:val="center"/>
                </w:tcPr>
                <w:p w14:paraId="63497D17">
                  <w:pPr>
                    <w:jc w:val="center"/>
                    <w:rPr>
                      <w:rFonts w:eastAsia="仿宋"/>
                      <w:color w:val="auto"/>
                      <w:sz w:val="21"/>
                      <w:szCs w:val="21"/>
                    </w:rPr>
                  </w:pPr>
                  <w:r>
                    <w:rPr>
                      <w:rStyle w:val="19"/>
                      <w:rFonts w:ascii="Times New Roman" w:hAnsi="Times New Roman" w:eastAsia="仿宋" w:cs="Times New Roman"/>
                      <w:color w:val="auto"/>
                      <w:sz w:val="21"/>
                      <w:szCs w:val="21"/>
                      <w:lang w:bidi="ar"/>
                    </w:rPr>
                    <w:t>20#</w:t>
                  </w:r>
                  <w:r>
                    <w:rPr>
                      <w:rStyle w:val="15"/>
                      <w:rFonts w:hint="default" w:ascii="Times New Roman" w:hAnsi="Times New Roman" w:eastAsia="仿宋"/>
                      <w:color w:val="auto"/>
                      <w:sz w:val="21"/>
                      <w:szCs w:val="21"/>
                      <w:lang w:bidi="ar"/>
                    </w:rPr>
                    <w:t>钢</w:t>
                  </w:r>
                </w:p>
              </w:tc>
            </w:tr>
            <w:tr w14:paraId="2D31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Merge w:val="continue"/>
                  <w:tcBorders>
                    <w:tl2br w:val="nil"/>
                    <w:tr2bl w:val="nil"/>
                  </w:tcBorders>
                  <w:vAlign w:val="center"/>
                </w:tcPr>
                <w:p w14:paraId="3AA15534">
                  <w:pPr>
                    <w:rPr>
                      <w:rFonts w:eastAsia="仿宋"/>
                      <w:color w:val="auto"/>
                      <w:sz w:val="21"/>
                      <w:szCs w:val="21"/>
                    </w:rPr>
                  </w:pPr>
                </w:p>
              </w:tc>
              <w:tc>
                <w:tcPr>
                  <w:tcW w:w="1178" w:type="dxa"/>
                  <w:vMerge w:val="continue"/>
                  <w:tcBorders>
                    <w:tl2br w:val="nil"/>
                    <w:tr2bl w:val="nil"/>
                  </w:tcBorders>
                  <w:vAlign w:val="center"/>
                </w:tcPr>
                <w:p w14:paraId="31D5F80B">
                  <w:pPr>
                    <w:jc w:val="center"/>
                    <w:rPr>
                      <w:rFonts w:eastAsia="仿宋"/>
                      <w:color w:val="auto"/>
                      <w:sz w:val="21"/>
                      <w:szCs w:val="21"/>
                    </w:rPr>
                  </w:pPr>
                </w:p>
              </w:tc>
              <w:tc>
                <w:tcPr>
                  <w:tcW w:w="785" w:type="dxa"/>
                  <w:tcBorders>
                    <w:tl2br w:val="nil"/>
                    <w:tr2bl w:val="nil"/>
                  </w:tcBorders>
                  <w:vAlign w:val="center"/>
                </w:tcPr>
                <w:p w14:paraId="57B8CAD3">
                  <w:pPr>
                    <w:jc w:val="center"/>
                    <w:rPr>
                      <w:rFonts w:eastAsia="仿宋"/>
                      <w:color w:val="auto"/>
                      <w:sz w:val="21"/>
                      <w:szCs w:val="21"/>
                    </w:rPr>
                  </w:pPr>
                  <w:r>
                    <w:rPr>
                      <w:rStyle w:val="15"/>
                      <w:rFonts w:hint="default" w:ascii="Times New Roman" w:hAnsi="Times New Roman" w:eastAsia="仿宋"/>
                      <w:color w:val="auto"/>
                      <w:sz w:val="21"/>
                      <w:szCs w:val="21"/>
                      <w:lang w:bidi="ar"/>
                    </w:rPr>
                    <w:t>终点</w:t>
                  </w:r>
                </w:p>
              </w:tc>
              <w:tc>
                <w:tcPr>
                  <w:tcW w:w="1605" w:type="dxa"/>
                  <w:tcBorders>
                    <w:tl2br w:val="nil"/>
                    <w:tr2bl w:val="nil"/>
                  </w:tcBorders>
                  <w:vAlign w:val="center"/>
                </w:tcPr>
                <w:p w14:paraId="78BC2F06">
                  <w:pPr>
                    <w:jc w:val="center"/>
                    <w:rPr>
                      <w:rFonts w:eastAsia="仿宋"/>
                      <w:color w:val="auto"/>
                      <w:sz w:val="21"/>
                      <w:szCs w:val="21"/>
                    </w:rPr>
                  </w:pPr>
                  <w:r>
                    <w:rPr>
                      <w:rStyle w:val="19"/>
                      <w:rFonts w:ascii="Times New Roman" w:hAnsi="Times New Roman" w:eastAsia="仿宋" w:cs="Times New Roman"/>
                      <w:color w:val="auto"/>
                      <w:sz w:val="21"/>
                      <w:szCs w:val="21"/>
                      <w:lang w:bidi="ar"/>
                    </w:rPr>
                    <w:t>119°36′46.213″</w:t>
                  </w:r>
                </w:p>
              </w:tc>
              <w:tc>
                <w:tcPr>
                  <w:tcW w:w="1518" w:type="dxa"/>
                  <w:tcBorders>
                    <w:tl2br w:val="nil"/>
                    <w:tr2bl w:val="nil"/>
                  </w:tcBorders>
                  <w:vAlign w:val="center"/>
                </w:tcPr>
                <w:p w14:paraId="16AF8A18">
                  <w:pPr>
                    <w:jc w:val="center"/>
                    <w:rPr>
                      <w:rFonts w:eastAsia="仿宋"/>
                      <w:color w:val="auto"/>
                      <w:sz w:val="21"/>
                      <w:szCs w:val="21"/>
                    </w:rPr>
                  </w:pPr>
                  <w:r>
                    <w:rPr>
                      <w:rStyle w:val="19"/>
                      <w:rFonts w:ascii="Times New Roman" w:hAnsi="Times New Roman" w:eastAsia="仿宋" w:cs="Times New Roman"/>
                      <w:color w:val="auto"/>
                      <w:sz w:val="21"/>
                      <w:szCs w:val="21"/>
                      <w:lang w:bidi="ar"/>
                    </w:rPr>
                    <w:t>34°33′0.303″</w:t>
                  </w:r>
                </w:p>
              </w:tc>
              <w:tc>
                <w:tcPr>
                  <w:tcW w:w="992" w:type="dxa"/>
                  <w:vMerge w:val="continue"/>
                  <w:tcBorders>
                    <w:tl2br w:val="nil"/>
                    <w:tr2bl w:val="nil"/>
                  </w:tcBorders>
                  <w:vAlign w:val="center"/>
                </w:tcPr>
                <w:p w14:paraId="128FB886">
                  <w:pPr>
                    <w:jc w:val="center"/>
                    <w:rPr>
                      <w:rFonts w:eastAsia="仿宋"/>
                      <w:color w:val="auto"/>
                      <w:sz w:val="21"/>
                      <w:szCs w:val="21"/>
                    </w:rPr>
                  </w:pPr>
                </w:p>
              </w:tc>
              <w:tc>
                <w:tcPr>
                  <w:tcW w:w="992" w:type="dxa"/>
                  <w:vMerge w:val="continue"/>
                  <w:tcBorders>
                    <w:tl2br w:val="nil"/>
                    <w:tr2bl w:val="nil"/>
                  </w:tcBorders>
                  <w:vAlign w:val="center"/>
                </w:tcPr>
                <w:p w14:paraId="1ED792A7">
                  <w:pPr>
                    <w:jc w:val="center"/>
                    <w:rPr>
                      <w:rFonts w:eastAsia="仿宋"/>
                      <w:color w:val="auto"/>
                      <w:sz w:val="21"/>
                      <w:szCs w:val="21"/>
                    </w:rPr>
                  </w:pPr>
                </w:p>
              </w:tc>
              <w:tc>
                <w:tcPr>
                  <w:tcW w:w="1116" w:type="dxa"/>
                  <w:vMerge w:val="continue"/>
                  <w:tcBorders>
                    <w:tl2br w:val="nil"/>
                    <w:tr2bl w:val="nil"/>
                  </w:tcBorders>
                  <w:vAlign w:val="center"/>
                </w:tcPr>
                <w:p w14:paraId="0BEC0D24">
                  <w:pPr>
                    <w:jc w:val="center"/>
                    <w:rPr>
                      <w:rFonts w:eastAsia="仿宋"/>
                      <w:color w:val="auto"/>
                      <w:sz w:val="21"/>
                      <w:szCs w:val="21"/>
                    </w:rPr>
                  </w:pPr>
                </w:p>
              </w:tc>
            </w:tr>
            <w:tr w14:paraId="720E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Merge w:val="restart"/>
                  <w:tcBorders>
                    <w:tl2br w:val="nil"/>
                    <w:tr2bl w:val="nil"/>
                  </w:tcBorders>
                  <w:vAlign w:val="center"/>
                </w:tcPr>
                <w:p w14:paraId="2958F5CC">
                  <w:pPr>
                    <w:jc w:val="center"/>
                    <w:rPr>
                      <w:rFonts w:hint="eastAsia" w:eastAsia="仿宋"/>
                      <w:color w:val="auto"/>
                      <w:sz w:val="21"/>
                      <w:szCs w:val="21"/>
                      <w:lang w:eastAsia="zh-CN"/>
                    </w:rPr>
                  </w:pPr>
                  <w:r>
                    <w:rPr>
                      <w:rStyle w:val="19"/>
                      <w:rFonts w:hint="eastAsia" w:eastAsia="仿宋" w:cs="Times New Roman"/>
                      <w:color w:val="auto"/>
                      <w:sz w:val="21"/>
                      <w:szCs w:val="21"/>
                      <w:lang w:val="en-US" w:eastAsia="zh-CN" w:bidi="ar"/>
                    </w:rPr>
                    <w:t>3</w:t>
                  </w:r>
                </w:p>
              </w:tc>
              <w:tc>
                <w:tcPr>
                  <w:tcW w:w="1178" w:type="dxa"/>
                  <w:vMerge w:val="restart"/>
                  <w:tcBorders>
                    <w:tl2br w:val="nil"/>
                    <w:tr2bl w:val="nil"/>
                  </w:tcBorders>
                  <w:vAlign w:val="center"/>
                </w:tcPr>
                <w:p w14:paraId="6A78D1DF">
                  <w:pPr>
                    <w:jc w:val="center"/>
                    <w:rPr>
                      <w:rFonts w:eastAsia="仿宋"/>
                      <w:color w:val="auto"/>
                      <w:sz w:val="21"/>
                      <w:szCs w:val="21"/>
                    </w:rPr>
                  </w:pPr>
                  <w:r>
                    <w:rPr>
                      <w:rStyle w:val="15"/>
                      <w:rFonts w:hint="default" w:ascii="Times New Roman" w:hAnsi="Times New Roman" w:eastAsia="仿宋"/>
                      <w:color w:val="auto"/>
                      <w:sz w:val="21"/>
                      <w:szCs w:val="21"/>
                      <w:lang w:bidi="ar"/>
                    </w:rPr>
                    <w:t>丁烷输送管线</w:t>
                  </w:r>
                  <w:r>
                    <w:rPr>
                      <w:rStyle w:val="19"/>
                      <w:rFonts w:ascii="Times New Roman" w:hAnsi="Times New Roman" w:eastAsia="仿宋" w:cs="Times New Roman"/>
                      <w:color w:val="auto"/>
                      <w:sz w:val="21"/>
                      <w:szCs w:val="21"/>
                      <w:lang w:bidi="ar"/>
                    </w:rPr>
                    <w:t>b</w:t>
                  </w:r>
                  <w:r>
                    <w:rPr>
                      <w:rStyle w:val="15"/>
                      <w:rFonts w:hint="default" w:ascii="Times New Roman" w:hAnsi="Times New Roman" w:eastAsia="仿宋"/>
                      <w:color w:val="auto"/>
                      <w:sz w:val="21"/>
                      <w:szCs w:val="21"/>
                      <w:lang w:bidi="ar"/>
                    </w:rPr>
                    <w:t>（荣泰仓储</w:t>
                  </w:r>
                  <w:r>
                    <w:rPr>
                      <w:rStyle w:val="19"/>
                      <w:rFonts w:ascii="Times New Roman" w:hAnsi="Times New Roman" w:eastAsia="仿宋" w:cs="Times New Roman"/>
                      <w:color w:val="auto"/>
                      <w:sz w:val="21"/>
                      <w:szCs w:val="21"/>
                      <w:lang w:bidi="ar"/>
                    </w:rPr>
                    <w:t>→</w:t>
                  </w:r>
                  <w:r>
                    <w:rPr>
                      <w:rStyle w:val="15"/>
                      <w:rFonts w:hint="default" w:ascii="Times New Roman" w:hAnsi="Times New Roman" w:eastAsia="仿宋"/>
                      <w:color w:val="auto"/>
                      <w:sz w:val="21"/>
                      <w:szCs w:val="21"/>
                      <w:lang w:bidi="ar"/>
                    </w:rPr>
                    <w:t>盛虹炼化、虹港石化）</w:t>
                  </w:r>
                </w:p>
              </w:tc>
              <w:tc>
                <w:tcPr>
                  <w:tcW w:w="785" w:type="dxa"/>
                  <w:tcBorders>
                    <w:tl2br w:val="nil"/>
                    <w:tr2bl w:val="nil"/>
                  </w:tcBorders>
                  <w:vAlign w:val="center"/>
                </w:tcPr>
                <w:p w14:paraId="0180F084">
                  <w:pPr>
                    <w:jc w:val="center"/>
                    <w:rPr>
                      <w:rFonts w:eastAsia="仿宋"/>
                      <w:color w:val="auto"/>
                      <w:sz w:val="21"/>
                      <w:szCs w:val="21"/>
                    </w:rPr>
                  </w:pPr>
                  <w:r>
                    <w:rPr>
                      <w:rStyle w:val="15"/>
                      <w:rFonts w:hint="default" w:ascii="Times New Roman" w:hAnsi="Times New Roman" w:eastAsia="仿宋"/>
                      <w:color w:val="auto"/>
                      <w:sz w:val="21"/>
                      <w:szCs w:val="21"/>
                      <w:lang w:bidi="ar"/>
                    </w:rPr>
                    <w:t>起点</w:t>
                  </w:r>
                </w:p>
              </w:tc>
              <w:tc>
                <w:tcPr>
                  <w:tcW w:w="1605" w:type="dxa"/>
                  <w:tcBorders>
                    <w:tl2br w:val="nil"/>
                    <w:tr2bl w:val="nil"/>
                  </w:tcBorders>
                  <w:vAlign w:val="center"/>
                </w:tcPr>
                <w:p w14:paraId="09AE1128">
                  <w:pPr>
                    <w:jc w:val="center"/>
                    <w:rPr>
                      <w:rFonts w:eastAsia="仿宋"/>
                      <w:color w:val="auto"/>
                      <w:sz w:val="21"/>
                      <w:szCs w:val="21"/>
                    </w:rPr>
                  </w:pPr>
                  <w:r>
                    <w:rPr>
                      <w:rStyle w:val="19"/>
                      <w:rFonts w:ascii="Times New Roman" w:hAnsi="Times New Roman" w:eastAsia="仿宋" w:cs="Times New Roman"/>
                      <w:color w:val="auto"/>
                      <w:sz w:val="21"/>
                      <w:szCs w:val="21"/>
                      <w:lang w:bidi="ar"/>
                    </w:rPr>
                    <w:t>119°37′36.675″</w:t>
                  </w:r>
                </w:p>
              </w:tc>
              <w:tc>
                <w:tcPr>
                  <w:tcW w:w="1518" w:type="dxa"/>
                  <w:tcBorders>
                    <w:tl2br w:val="nil"/>
                    <w:tr2bl w:val="nil"/>
                  </w:tcBorders>
                  <w:vAlign w:val="center"/>
                </w:tcPr>
                <w:p w14:paraId="1C5DD53D">
                  <w:pPr>
                    <w:jc w:val="center"/>
                    <w:rPr>
                      <w:rStyle w:val="19"/>
                      <w:rFonts w:ascii="Times New Roman" w:hAnsi="Times New Roman" w:eastAsia="仿宋" w:cs="Times New Roman"/>
                      <w:color w:val="auto"/>
                      <w:sz w:val="21"/>
                      <w:szCs w:val="21"/>
                      <w:lang w:bidi="ar"/>
                    </w:rPr>
                  </w:pPr>
                  <w:r>
                    <w:rPr>
                      <w:rStyle w:val="19"/>
                      <w:rFonts w:ascii="Times New Roman" w:hAnsi="Times New Roman" w:eastAsia="仿宋" w:cs="Times New Roman"/>
                      <w:color w:val="auto"/>
                      <w:sz w:val="21"/>
                      <w:szCs w:val="21"/>
                      <w:lang w:bidi="ar"/>
                    </w:rPr>
                    <w:t>34°33′9.125″</w:t>
                  </w:r>
                </w:p>
              </w:tc>
              <w:tc>
                <w:tcPr>
                  <w:tcW w:w="992" w:type="dxa"/>
                  <w:vMerge w:val="restart"/>
                  <w:tcBorders>
                    <w:tl2br w:val="nil"/>
                    <w:tr2bl w:val="nil"/>
                  </w:tcBorders>
                  <w:vAlign w:val="center"/>
                </w:tcPr>
                <w:p w14:paraId="1702E427">
                  <w:pPr>
                    <w:jc w:val="center"/>
                    <w:rPr>
                      <w:rFonts w:eastAsia="仿宋"/>
                      <w:color w:val="auto"/>
                      <w:sz w:val="21"/>
                      <w:szCs w:val="21"/>
                    </w:rPr>
                  </w:pPr>
                  <w:r>
                    <w:rPr>
                      <w:rStyle w:val="19"/>
                      <w:rFonts w:ascii="Times New Roman" w:hAnsi="Times New Roman" w:eastAsia="仿宋" w:cs="Times New Roman"/>
                      <w:color w:val="auto"/>
                      <w:sz w:val="21"/>
                      <w:szCs w:val="21"/>
                      <w:lang w:bidi="ar"/>
                    </w:rPr>
                    <w:t>5500</w:t>
                  </w:r>
                </w:p>
              </w:tc>
              <w:tc>
                <w:tcPr>
                  <w:tcW w:w="992" w:type="dxa"/>
                  <w:vMerge w:val="restart"/>
                  <w:tcBorders>
                    <w:tl2br w:val="nil"/>
                    <w:tr2bl w:val="nil"/>
                  </w:tcBorders>
                  <w:vAlign w:val="center"/>
                </w:tcPr>
                <w:p w14:paraId="5E4376AA">
                  <w:pPr>
                    <w:jc w:val="center"/>
                    <w:rPr>
                      <w:rFonts w:eastAsia="仿宋"/>
                      <w:color w:val="auto"/>
                      <w:sz w:val="21"/>
                      <w:szCs w:val="21"/>
                    </w:rPr>
                  </w:pPr>
                  <w:r>
                    <w:rPr>
                      <w:rStyle w:val="19"/>
                      <w:rFonts w:ascii="Times New Roman" w:hAnsi="Times New Roman" w:eastAsia="仿宋" w:cs="Times New Roman"/>
                      <w:color w:val="auto"/>
                      <w:sz w:val="21"/>
                      <w:szCs w:val="21"/>
                      <w:lang w:bidi="ar"/>
                    </w:rPr>
                    <w:t>DN150</w:t>
                  </w:r>
                </w:p>
              </w:tc>
              <w:tc>
                <w:tcPr>
                  <w:tcW w:w="1116" w:type="dxa"/>
                  <w:vMerge w:val="restart"/>
                  <w:tcBorders>
                    <w:tl2br w:val="nil"/>
                    <w:tr2bl w:val="nil"/>
                  </w:tcBorders>
                  <w:vAlign w:val="center"/>
                </w:tcPr>
                <w:p w14:paraId="07D73EF4">
                  <w:pPr>
                    <w:jc w:val="center"/>
                    <w:rPr>
                      <w:rFonts w:eastAsia="仿宋"/>
                      <w:color w:val="auto"/>
                      <w:sz w:val="21"/>
                      <w:szCs w:val="21"/>
                    </w:rPr>
                  </w:pPr>
                  <w:r>
                    <w:rPr>
                      <w:rStyle w:val="19"/>
                      <w:rFonts w:ascii="Times New Roman" w:hAnsi="Times New Roman" w:eastAsia="仿宋" w:cs="Times New Roman"/>
                      <w:color w:val="auto"/>
                      <w:sz w:val="21"/>
                      <w:szCs w:val="21"/>
                      <w:lang w:bidi="ar"/>
                    </w:rPr>
                    <w:t>20#</w:t>
                  </w:r>
                  <w:r>
                    <w:rPr>
                      <w:rStyle w:val="15"/>
                      <w:rFonts w:hint="default" w:ascii="Times New Roman" w:hAnsi="Times New Roman" w:eastAsia="仿宋"/>
                      <w:color w:val="auto"/>
                      <w:sz w:val="21"/>
                      <w:szCs w:val="21"/>
                      <w:lang w:bidi="ar"/>
                    </w:rPr>
                    <w:t>钢</w:t>
                  </w:r>
                </w:p>
              </w:tc>
            </w:tr>
            <w:tr w14:paraId="574AC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Merge w:val="continue"/>
                  <w:tcBorders>
                    <w:tl2br w:val="nil"/>
                    <w:tr2bl w:val="nil"/>
                  </w:tcBorders>
                  <w:vAlign w:val="center"/>
                </w:tcPr>
                <w:p w14:paraId="264D978D">
                  <w:pPr>
                    <w:rPr>
                      <w:rFonts w:eastAsia="仿宋"/>
                      <w:color w:val="auto"/>
                      <w:sz w:val="21"/>
                      <w:szCs w:val="21"/>
                    </w:rPr>
                  </w:pPr>
                </w:p>
              </w:tc>
              <w:tc>
                <w:tcPr>
                  <w:tcW w:w="1178" w:type="dxa"/>
                  <w:vMerge w:val="continue"/>
                  <w:tcBorders>
                    <w:tl2br w:val="nil"/>
                    <w:tr2bl w:val="nil"/>
                  </w:tcBorders>
                  <w:vAlign w:val="center"/>
                </w:tcPr>
                <w:p w14:paraId="433C0A87">
                  <w:pPr>
                    <w:rPr>
                      <w:rFonts w:eastAsia="仿宋"/>
                      <w:color w:val="auto"/>
                      <w:sz w:val="21"/>
                      <w:szCs w:val="21"/>
                    </w:rPr>
                  </w:pPr>
                </w:p>
              </w:tc>
              <w:tc>
                <w:tcPr>
                  <w:tcW w:w="785" w:type="dxa"/>
                  <w:tcBorders>
                    <w:tl2br w:val="nil"/>
                    <w:tr2bl w:val="nil"/>
                  </w:tcBorders>
                  <w:vAlign w:val="center"/>
                </w:tcPr>
                <w:p w14:paraId="721ECA2B">
                  <w:pPr>
                    <w:jc w:val="center"/>
                    <w:rPr>
                      <w:rFonts w:eastAsia="仿宋"/>
                      <w:color w:val="auto"/>
                      <w:sz w:val="21"/>
                      <w:szCs w:val="21"/>
                    </w:rPr>
                  </w:pPr>
                  <w:r>
                    <w:rPr>
                      <w:rStyle w:val="15"/>
                      <w:rFonts w:hint="default" w:ascii="Times New Roman" w:hAnsi="Times New Roman" w:eastAsia="仿宋"/>
                      <w:color w:val="auto"/>
                      <w:sz w:val="21"/>
                      <w:szCs w:val="21"/>
                      <w:lang w:bidi="ar"/>
                    </w:rPr>
                    <w:t>拐点</w:t>
                  </w:r>
                  <w:r>
                    <w:rPr>
                      <w:rStyle w:val="19"/>
                      <w:rFonts w:ascii="Times New Roman" w:hAnsi="Times New Roman" w:eastAsia="仿宋" w:cs="Times New Roman"/>
                      <w:color w:val="auto"/>
                      <w:sz w:val="21"/>
                      <w:szCs w:val="21"/>
                      <w:lang w:bidi="ar"/>
                    </w:rPr>
                    <w:t>1</w:t>
                  </w:r>
                </w:p>
              </w:tc>
              <w:tc>
                <w:tcPr>
                  <w:tcW w:w="1605" w:type="dxa"/>
                  <w:tcBorders>
                    <w:tl2br w:val="nil"/>
                    <w:tr2bl w:val="nil"/>
                  </w:tcBorders>
                  <w:vAlign w:val="center"/>
                </w:tcPr>
                <w:p w14:paraId="5BC72C5A">
                  <w:pPr>
                    <w:jc w:val="center"/>
                    <w:rPr>
                      <w:rFonts w:eastAsia="仿宋"/>
                      <w:color w:val="auto"/>
                      <w:sz w:val="21"/>
                      <w:szCs w:val="21"/>
                    </w:rPr>
                  </w:pPr>
                  <w:r>
                    <w:rPr>
                      <w:rStyle w:val="19"/>
                      <w:rFonts w:ascii="Times New Roman" w:hAnsi="Times New Roman" w:eastAsia="仿宋" w:cs="Times New Roman"/>
                      <w:color w:val="auto"/>
                      <w:sz w:val="21"/>
                      <w:szCs w:val="21"/>
                      <w:lang w:bidi="ar"/>
                    </w:rPr>
                    <w:t>119°37′37.418″</w:t>
                  </w:r>
                </w:p>
              </w:tc>
              <w:tc>
                <w:tcPr>
                  <w:tcW w:w="1518" w:type="dxa"/>
                  <w:tcBorders>
                    <w:tl2br w:val="nil"/>
                    <w:tr2bl w:val="nil"/>
                  </w:tcBorders>
                  <w:vAlign w:val="center"/>
                </w:tcPr>
                <w:p w14:paraId="0C91EACF">
                  <w:pPr>
                    <w:jc w:val="center"/>
                    <w:rPr>
                      <w:rFonts w:eastAsia="仿宋"/>
                      <w:color w:val="auto"/>
                      <w:sz w:val="21"/>
                      <w:szCs w:val="21"/>
                    </w:rPr>
                  </w:pPr>
                  <w:r>
                    <w:rPr>
                      <w:rStyle w:val="19"/>
                      <w:rFonts w:ascii="Times New Roman" w:hAnsi="Times New Roman" w:eastAsia="仿宋" w:cs="Times New Roman"/>
                      <w:color w:val="auto"/>
                      <w:sz w:val="21"/>
                      <w:szCs w:val="21"/>
                      <w:lang w:bidi="ar"/>
                    </w:rPr>
                    <w:t>34°33′10.097″</w:t>
                  </w:r>
                </w:p>
              </w:tc>
              <w:tc>
                <w:tcPr>
                  <w:tcW w:w="992" w:type="dxa"/>
                  <w:vMerge w:val="continue"/>
                  <w:tcBorders>
                    <w:tl2br w:val="nil"/>
                    <w:tr2bl w:val="nil"/>
                  </w:tcBorders>
                  <w:vAlign w:val="center"/>
                </w:tcPr>
                <w:p w14:paraId="2B7CD019">
                  <w:pPr>
                    <w:rPr>
                      <w:rFonts w:eastAsia="仿宋"/>
                      <w:color w:val="auto"/>
                      <w:sz w:val="21"/>
                      <w:szCs w:val="21"/>
                    </w:rPr>
                  </w:pPr>
                </w:p>
              </w:tc>
              <w:tc>
                <w:tcPr>
                  <w:tcW w:w="992" w:type="dxa"/>
                  <w:vMerge w:val="continue"/>
                  <w:tcBorders>
                    <w:tl2br w:val="nil"/>
                    <w:tr2bl w:val="nil"/>
                  </w:tcBorders>
                  <w:vAlign w:val="center"/>
                </w:tcPr>
                <w:p w14:paraId="09DA5327">
                  <w:pPr>
                    <w:rPr>
                      <w:rFonts w:eastAsia="仿宋"/>
                      <w:color w:val="auto"/>
                      <w:sz w:val="21"/>
                      <w:szCs w:val="21"/>
                    </w:rPr>
                  </w:pPr>
                </w:p>
              </w:tc>
              <w:tc>
                <w:tcPr>
                  <w:tcW w:w="1116" w:type="dxa"/>
                  <w:vMerge w:val="continue"/>
                  <w:tcBorders>
                    <w:tl2br w:val="nil"/>
                    <w:tr2bl w:val="nil"/>
                  </w:tcBorders>
                  <w:vAlign w:val="center"/>
                </w:tcPr>
                <w:p w14:paraId="43ED0BBF">
                  <w:pPr>
                    <w:rPr>
                      <w:rFonts w:eastAsia="仿宋"/>
                      <w:color w:val="auto"/>
                      <w:sz w:val="21"/>
                      <w:szCs w:val="21"/>
                    </w:rPr>
                  </w:pPr>
                </w:p>
              </w:tc>
            </w:tr>
            <w:tr w14:paraId="2AF8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Merge w:val="continue"/>
                  <w:tcBorders>
                    <w:tl2br w:val="nil"/>
                    <w:tr2bl w:val="nil"/>
                  </w:tcBorders>
                  <w:vAlign w:val="center"/>
                </w:tcPr>
                <w:p w14:paraId="7AE30A26">
                  <w:pPr>
                    <w:rPr>
                      <w:rFonts w:eastAsia="仿宋"/>
                      <w:color w:val="auto"/>
                      <w:sz w:val="21"/>
                      <w:szCs w:val="21"/>
                    </w:rPr>
                  </w:pPr>
                </w:p>
              </w:tc>
              <w:tc>
                <w:tcPr>
                  <w:tcW w:w="1178" w:type="dxa"/>
                  <w:vMerge w:val="continue"/>
                  <w:tcBorders>
                    <w:tl2br w:val="nil"/>
                    <w:tr2bl w:val="nil"/>
                  </w:tcBorders>
                  <w:vAlign w:val="center"/>
                </w:tcPr>
                <w:p w14:paraId="0A32BC5A">
                  <w:pPr>
                    <w:rPr>
                      <w:rFonts w:eastAsia="仿宋"/>
                      <w:color w:val="auto"/>
                      <w:sz w:val="21"/>
                      <w:szCs w:val="21"/>
                    </w:rPr>
                  </w:pPr>
                </w:p>
              </w:tc>
              <w:tc>
                <w:tcPr>
                  <w:tcW w:w="785" w:type="dxa"/>
                  <w:tcBorders>
                    <w:tl2br w:val="nil"/>
                    <w:tr2bl w:val="nil"/>
                  </w:tcBorders>
                  <w:vAlign w:val="center"/>
                </w:tcPr>
                <w:p w14:paraId="206B73B9">
                  <w:pPr>
                    <w:jc w:val="center"/>
                    <w:rPr>
                      <w:rFonts w:eastAsia="仿宋"/>
                      <w:color w:val="auto"/>
                      <w:sz w:val="21"/>
                      <w:szCs w:val="21"/>
                    </w:rPr>
                  </w:pPr>
                  <w:r>
                    <w:rPr>
                      <w:rStyle w:val="15"/>
                      <w:rFonts w:hint="default" w:ascii="Times New Roman" w:hAnsi="Times New Roman" w:eastAsia="仿宋"/>
                      <w:color w:val="auto"/>
                      <w:sz w:val="21"/>
                      <w:szCs w:val="21"/>
                      <w:lang w:bidi="ar"/>
                    </w:rPr>
                    <w:t>拐点</w:t>
                  </w:r>
                  <w:r>
                    <w:rPr>
                      <w:rStyle w:val="19"/>
                      <w:rFonts w:ascii="Times New Roman" w:hAnsi="Times New Roman" w:eastAsia="仿宋" w:cs="Times New Roman"/>
                      <w:color w:val="auto"/>
                      <w:sz w:val="21"/>
                      <w:szCs w:val="21"/>
                      <w:lang w:bidi="ar"/>
                    </w:rPr>
                    <w:t>2</w:t>
                  </w:r>
                </w:p>
              </w:tc>
              <w:tc>
                <w:tcPr>
                  <w:tcW w:w="1605" w:type="dxa"/>
                  <w:tcBorders>
                    <w:tl2br w:val="nil"/>
                    <w:tr2bl w:val="nil"/>
                  </w:tcBorders>
                  <w:vAlign w:val="center"/>
                </w:tcPr>
                <w:p w14:paraId="02365CB2">
                  <w:pPr>
                    <w:jc w:val="center"/>
                    <w:rPr>
                      <w:rFonts w:eastAsia="仿宋"/>
                      <w:color w:val="auto"/>
                      <w:sz w:val="21"/>
                      <w:szCs w:val="21"/>
                    </w:rPr>
                  </w:pPr>
                  <w:r>
                    <w:rPr>
                      <w:rStyle w:val="19"/>
                      <w:rFonts w:ascii="Times New Roman" w:hAnsi="Times New Roman" w:eastAsia="仿宋" w:cs="Times New Roman"/>
                      <w:color w:val="auto"/>
                      <w:sz w:val="21"/>
                      <w:szCs w:val="21"/>
                      <w:lang w:bidi="ar"/>
                    </w:rPr>
                    <w:t>119°37′49.079″</w:t>
                  </w:r>
                </w:p>
              </w:tc>
              <w:tc>
                <w:tcPr>
                  <w:tcW w:w="1518" w:type="dxa"/>
                  <w:tcBorders>
                    <w:tl2br w:val="nil"/>
                    <w:tr2bl w:val="nil"/>
                  </w:tcBorders>
                  <w:vAlign w:val="center"/>
                </w:tcPr>
                <w:p w14:paraId="64188E79">
                  <w:pPr>
                    <w:jc w:val="center"/>
                    <w:rPr>
                      <w:rFonts w:eastAsia="仿宋"/>
                      <w:color w:val="auto"/>
                      <w:sz w:val="21"/>
                      <w:szCs w:val="21"/>
                    </w:rPr>
                  </w:pPr>
                  <w:r>
                    <w:rPr>
                      <w:rStyle w:val="19"/>
                      <w:rFonts w:ascii="Times New Roman" w:hAnsi="Times New Roman" w:eastAsia="仿宋" w:cs="Times New Roman"/>
                      <w:color w:val="auto"/>
                      <w:sz w:val="21"/>
                      <w:szCs w:val="21"/>
                      <w:lang w:bidi="ar"/>
                    </w:rPr>
                    <w:t>34°33′4.619″</w:t>
                  </w:r>
                </w:p>
              </w:tc>
              <w:tc>
                <w:tcPr>
                  <w:tcW w:w="992" w:type="dxa"/>
                  <w:vMerge w:val="continue"/>
                  <w:tcBorders>
                    <w:tl2br w:val="nil"/>
                    <w:tr2bl w:val="nil"/>
                  </w:tcBorders>
                  <w:vAlign w:val="center"/>
                </w:tcPr>
                <w:p w14:paraId="416AD202">
                  <w:pPr>
                    <w:rPr>
                      <w:rFonts w:eastAsia="仿宋"/>
                      <w:color w:val="auto"/>
                      <w:sz w:val="21"/>
                      <w:szCs w:val="21"/>
                    </w:rPr>
                  </w:pPr>
                </w:p>
              </w:tc>
              <w:tc>
                <w:tcPr>
                  <w:tcW w:w="992" w:type="dxa"/>
                  <w:vMerge w:val="continue"/>
                  <w:tcBorders>
                    <w:tl2br w:val="nil"/>
                    <w:tr2bl w:val="nil"/>
                  </w:tcBorders>
                  <w:vAlign w:val="center"/>
                </w:tcPr>
                <w:p w14:paraId="631EAB9F">
                  <w:pPr>
                    <w:rPr>
                      <w:rFonts w:eastAsia="仿宋"/>
                      <w:color w:val="auto"/>
                      <w:sz w:val="21"/>
                      <w:szCs w:val="21"/>
                    </w:rPr>
                  </w:pPr>
                </w:p>
              </w:tc>
              <w:tc>
                <w:tcPr>
                  <w:tcW w:w="1116" w:type="dxa"/>
                  <w:vMerge w:val="continue"/>
                  <w:tcBorders>
                    <w:tl2br w:val="nil"/>
                    <w:tr2bl w:val="nil"/>
                  </w:tcBorders>
                  <w:vAlign w:val="center"/>
                </w:tcPr>
                <w:p w14:paraId="3B774A84">
                  <w:pPr>
                    <w:rPr>
                      <w:rFonts w:eastAsia="仿宋"/>
                      <w:color w:val="auto"/>
                      <w:sz w:val="21"/>
                      <w:szCs w:val="21"/>
                    </w:rPr>
                  </w:pPr>
                </w:p>
              </w:tc>
            </w:tr>
            <w:tr w14:paraId="12970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Merge w:val="continue"/>
                  <w:tcBorders>
                    <w:tl2br w:val="nil"/>
                    <w:tr2bl w:val="nil"/>
                  </w:tcBorders>
                  <w:vAlign w:val="center"/>
                </w:tcPr>
                <w:p w14:paraId="18D8CDC9">
                  <w:pPr>
                    <w:rPr>
                      <w:rFonts w:eastAsia="仿宋"/>
                      <w:color w:val="auto"/>
                      <w:sz w:val="21"/>
                      <w:szCs w:val="21"/>
                    </w:rPr>
                  </w:pPr>
                </w:p>
              </w:tc>
              <w:tc>
                <w:tcPr>
                  <w:tcW w:w="1178" w:type="dxa"/>
                  <w:vMerge w:val="continue"/>
                  <w:tcBorders>
                    <w:tl2br w:val="nil"/>
                    <w:tr2bl w:val="nil"/>
                  </w:tcBorders>
                  <w:vAlign w:val="center"/>
                </w:tcPr>
                <w:p w14:paraId="1A201FF3">
                  <w:pPr>
                    <w:rPr>
                      <w:rFonts w:eastAsia="仿宋"/>
                      <w:color w:val="auto"/>
                      <w:sz w:val="21"/>
                      <w:szCs w:val="21"/>
                    </w:rPr>
                  </w:pPr>
                </w:p>
              </w:tc>
              <w:tc>
                <w:tcPr>
                  <w:tcW w:w="785" w:type="dxa"/>
                  <w:tcBorders>
                    <w:tl2br w:val="nil"/>
                    <w:tr2bl w:val="nil"/>
                  </w:tcBorders>
                  <w:vAlign w:val="center"/>
                </w:tcPr>
                <w:p w14:paraId="25DA4ABF">
                  <w:pPr>
                    <w:jc w:val="center"/>
                    <w:rPr>
                      <w:rFonts w:eastAsia="仿宋"/>
                      <w:color w:val="auto"/>
                      <w:sz w:val="21"/>
                      <w:szCs w:val="21"/>
                    </w:rPr>
                  </w:pPr>
                  <w:r>
                    <w:rPr>
                      <w:rStyle w:val="15"/>
                      <w:rFonts w:hint="default" w:ascii="Times New Roman" w:hAnsi="Times New Roman" w:eastAsia="仿宋"/>
                      <w:color w:val="auto"/>
                      <w:sz w:val="21"/>
                      <w:szCs w:val="21"/>
                      <w:lang w:bidi="ar"/>
                    </w:rPr>
                    <w:t>拐点</w:t>
                  </w:r>
                  <w:r>
                    <w:rPr>
                      <w:rStyle w:val="19"/>
                      <w:rFonts w:ascii="Times New Roman" w:hAnsi="Times New Roman" w:eastAsia="仿宋" w:cs="Times New Roman"/>
                      <w:color w:val="auto"/>
                      <w:sz w:val="21"/>
                      <w:szCs w:val="21"/>
                      <w:lang w:bidi="ar"/>
                    </w:rPr>
                    <w:t>3</w:t>
                  </w:r>
                </w:p>
              </w:tc>
              <w:tc>
                <w:tcPr>
                  <w:tcW w:w="1605" w:type="dxa"/>
                  <w:tcBorders>
                    <w:tl2br w:val="nil"/>
                    <w:tr2bl w:val="nil"/>
                  </w:tcBorders>
                  <w:vAlign w:val="center"/>
                </w:tcPr>
                <w:p w14:paraId="7578050E">
                  <w:pPr>
                    <w:jc w:val="center"/>
                    <w:rPr>
                      <w:rFonts w:eastAsia="仿宋"/>
                      <w:color w:val="auto"/>
                      <w:sz w:val="21"/>
                      <w:szCs w:val="21"/>
                    </w:rPr>
                  </w:pPr>
                  <w:r>
                    <w:rPr>
                      <w:rStyle w:val="19"/>
                      <w:rFonts w:ascii="Times New Roman" w:hAnsi="Times New Roman" w:eastAsia="仿宋" w:cs="Times New Roman"/>
                      <w:color w:val="auto"/>
                      <w:sz w:val="21"/>
                      <w:szCs w:val="21"/>
                      <w:lang w:bidi="ar"/>
                    </w:rPr>
                    <w:t>119°37′47.640″</w:t>
                  </w:r>
                </w:p>
              </w:tc>
              <w:tc>
                <w:tcPr>
                  <w:tcW w:w="1518" w:type="dxa"/>
                  <w:tcBorders>
                    <w:tl2br w:val="nil"/>
                    <w:tr2bl w:val="nil"/>
                  </w:tcBorders>
                  <w:vAlign w:val="center"/>
                </w:tcPr>
                <w:p w14:paraId="4E29B7C0">
                  <w:pPr>
                    <w:jc w:val="center"/>
                    <w:rPr>
                      <w:rFonts w:eastAsia="仿宋"/>
                      <w:color w:val="auto"/>
                      <w:sz w:val="21"/>
                      <w:szCs w:val="21"/>
                    </w:rPr>
                  </w:pPr>
                  <w:r>
                    <w:rPr>
                      <w:rStyle w:val="19"/>
                      <w:rFonts w:ascii="Times New Roman" w:hAnsi="Times New Roman" w:eastAsia="仿宋" w:cs="Times New Roman"/>
                      <w:color w:val="auto"/>
                      <w:sz w:val="21"/>
                      <w:szCs w:val="21"/>
                      <w:lang w:bidi="ar"/>
                    </w:rPr>
                    <w:t>34°33′2.728″</w:t>
                  </w:r>
                </w:p>
              </w:tc>
              <w:tc>
                <w:tcPr>
                  <w:tcW w:w="992" w:type="dxa"/>
                  <w:vMerge w:val="continue"/>
                  <w:tcBorders>
                    <w:tl2br w:val="nil"/>
                    <w:tr2bl w:val="nil"/>
                  </w:tcBorders>
                  <w:vAlign w:val="center"/>
                </w:tcPr>
                <w:p w14:paraId="077FCBF1">
                  <w:pPr>
                    <w:rPr>
                      <w:rFonts w:eastAsia="仿宋"/>
                      <w:color w:val="auto"/>
                      <w:sz w:val="21"/>
                      <w:szCs w:val="21"/>
                    </w:rPr>
                  </w:pPr>
                </w:p>
              </w:tc>
              <w:tc>
                <w:tcPr>
                  <w:tcW w:w="992" w:type="dxa"/>
                  <w:vMerge w:val="continue"/>
                  <w:tcBorders>
                    <w:tl2br w:val="nil"/>
                    <w:tr2bl w:val="nil"/>
                  </w:tcBorders>
                  <w:vAlign w:val="center"/>
                </w:tcPr>
                <w:p w14:paraId="087CBD65">
                  <w:pPr>
                    <w:rPr>
                      <w:rFonts w:eastAsia="仿宋"/>
                      <w:color w:val="auto"/>
                      <w:sz w:val="21"/>
                      <w:szCs w:val="21"/>
                    </w:rPr>
                  </w:pPr>
                </w:p>
              </w:tc>
              <w:tc>
                <w:tcPr>
                  <w:tcW w:w="1116" w:type="dxa"/>
                  <w:vMerge w:val="continue"/>
                  <w:tcBorders>
                    <w:tl2br w:val="nil"/>
                    <w:tr2bl w:val="nil"/>
                  </w:tcBorders>
                  <w:vAlign w:val="center"/>
                </w:tcPr>
                <w:p w14:paraId="7F843F3A">
                  <w:pPr>
                    <w:rPr>
                      <w:rFonts w:eastAsia="仿宋"/>
                      <w:color w:val="auto"/>
                      <w:sz w:val="21"/>
                      <w:szCs w:val="21"/>
                    </w:rPr>
                  </w:pPr>
                </w:p>
              </w:tc>
            </w:tr>
            <w:tr w14:paraId="268EB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Merge w:val="continue"/>
                  <w:tcBorders>
                    <w:tl2br w:val="nil"/>
                    <w:tr2bl w:val="nil"/>
                  </w:tcBorders>
                  <w:vAlign w:val="center"/>
                </w:tcPr>
                <w:p w14:paraId="0E6F40D9">
                  <w:pPr>
                    <w:rPr>
                      <w:rFonts w:eastAsia="仿宋"/>
                      <w:color w:val="auto"/>
                      <w:sz w:val="21"/>
                      <w:szCs w:val="21"/>
                    </w:rPr>
                  </w:pPr>
                </w:p>
              </w:tc>
              <w:tc>
                <w:tcPr>
                  <w:tcW w:w="1178" w:type="dxa"/>
                  <w:vMerge w:val="continue"/>
                  <w:tcBorders>
                    <w:tl2br w:val="nil"/>
                    <w:tr2bl w:val="nil"/>
                  </w:tcBorders>
                  <w:vAlign w:val="center"/>
                </w:tcPr>
                <w:p w14:paraId="34BE22C4">
                  <w:pPr>
                    <w:rPr>
                      <w:rFonts w:eastAsia="仿宋"/>
                      <w:color w:val="auto"/>
                      <w:sz w:val="21"/>
                      <w:szCs w:val="21"/>
                    </w:rPr>
                  </w:pPr>
                </w:p>
              </w:tc>
              <w:tc>
                <w:tcPr>
                  <w:tcW w:w="785" w:type="dxa"/>
                  <w:tcBorders>
                    <w:tl2br w:val="nil"/>
                    <w:tr2bl w:val="nil"/>
                  </w:tcBorders>
                  <w:vAlign w:val="center"/>
                </w:tcPr>
                <w:p w14:paraId="395DA5C8">
                  <w:pPr>
                    <w:jc w:val="center"/>
                    <w:rPr>
                      <w:rFonts w:eastAsia="仿宋"/>
                      <w:color w:val="auto"/>
                      <w:sz w:val="21"/>
                      <w:szCs w:val="21"/>
                    </w:rPr>
                  </w:pPr>
                  <w:r>
                    <w:rPr>
                      <w:rStyle w:val="15"/>
                      <w:rFonts w:hint="default" w:ascii="Times New Roman" w:hAnsi="Times New Roman" w:eastAsia="仿宋"/>
                      <w:color w:val="auto"/>
                      <w:sz w:val="21"/>
                      <w:szCs w:val="21"/>
                      <w:lang w:bidi="ar"/>
                    </w:rPr>
                    <w:t>拐点</w:t>
                  </w:r>
                  <w:r>
                    <w:rPr>
                      <w:rStyle w:val="19"/>
                      <w:rFonts w:ascii="Times New Roman" w:hAnsi="Times New Roman" w:eastAsia="仿宋" w:cs="Times New Roman"/>
                      <w:color w:val="auto"/>
                      <w:sz w:val="21"/>
                      <w:szCs w:val="21"/>
                      <w:lang w:bidi="ar"/>
                    </w:rPr>
                    <w:t>4</w:t>
                  </w:r>
                </w:p>
              </w:tc>
              <w:tc>
                <w:tcPr>
                  <w:tcW w:w="1605" w:type="dxa"/>
                  <w:tcBorders>
                    <w:tl2br w:val="nil"/>
                    <w:tr2bl w:val="nil"/>
                  </w:tcBorders>
                  <w:vAlign w:val="center"/>
                </w:tcPr>
                <w:p w14:paraId="182D99F4">
                  <w:pPr>
                    <w:jc w:val="center"/>
                    <w:rPr>
                      <w:rFonts w:eastAsia="仿宋"/>
                      <w:color w:val="auto"/>
                      <w:sz w:val="21"/>
                      <w:szCs w:val="21"/>
                    </w:rPr>
                  </w:pPr>
                  <w:r>
                    <w:rPr>
                      <w:rStyle w:val="19"/>
                      <w:rFonts w:ascii="Times New Roman" w:hAnsi="Times New Roman" w:eastAsia="仿宋" w:cs="Times New Roman"/>
                      <w:color w:val="auto"/>
                      <w:sz w:val="21"/>
                      <w:szCs w:val="21"/>
                      <w:lang w:bidi="ar"/>
                    </w:rPr>
                    <w:t>119°38′2.467″</w:t>
                  </w:r>
                </w:p>
              </w:tc>
              <w:tc>
                <w:tcPr>
                  <w:tcW w:w="1518" w:type="dxa"/>
                  <w:tcBorders>
                    <w:tl2br w:val="nil"/>
                    <w:tr2bl w:val="nil"/>
                  </w:tcBorders>
                  <w:vAlign w:val="center"/>
                </w:tcPr>
                <w:p w14:paraId="1590D8E1">
                  <w:pPr>
                    <w:jc w:val="center"/>
                    <w:rPr>
                      <w:rFonts w:eastAsia="仿宋"/>
                      <w:color w:val="auto"/>
                      <w:sz w:val="21"/>
                      <w:szCs w:val="21"/>
                    </w:rPr>
                  </w:pPr>
                  <w:r>
                    <w:rPr>
                      <w:rStyle w:val="19"/>
                      <w:rFonts w:ascii="Times New Roman" w:hAnsi="Times New Roman" w:eastAsia="仿宋" w:cs="Times New Roman"/>
                      <w:color w:val="auto"/>
                      <w:sz w:val="21"/>
                      <w:szCs w:val="21"/>
                      <w:lang w:bidi="ar"/>
                    </w:rPr>
                    <w:t>34°32′54.511″</w:t>
                  </w:r>
                </w:p>
              </w:tc>
              <w:tc>
                <w:tcPr>
                  <w:tcW w:w="992" w:type="dxa"/>
                  <w:vMerge w:val="continue"/>
                  <w:tcBorders>
                    <w:tl2br w:val="nil"/>
                    <w:tr2bl w:val="nil"/>
                  </w:tcBorders>
                  <w:vAlign w:val="center"/>
                </w:tcPr>
                <w:p w14:paraId="5D3767CA">
                  <w:pPr>
                    <w:rPr>
                      <w:rFonts w:eastAsia="仿宋"/>
                      <w:color w:val="auto"/>
                      <w:sz w:val="21"/>
                      <w:szCs w:val="21"/>
                    </w:rPr>
                  </w:pPr>
                </w:p>
              </w:tc>
              <w:tc>
                <w:tcPr>
                  <w:tcW w:w="992" w:type="dxa"/>
                  <w:vMerge w:val="continue"/>
                  <w:tcBorders>
                    <w:tl2br w:val="nil"/>
                    <w:tr2bl w:val="nil"/>
                  </w:tcBorders>
                  <w:vAlign w:val="center"/>
                </w:tcPr>
                <w:p w14:paraId="2FAE20D9">
                  <w:pPr>
                    <w:rPr>
                      <w:rFonts w:eastAsia="仿宋"/>
                      <w:color w:val="auto"/>
                      <w:sz w:val="21"/>
                      <w:szCs w:val="21"/>
                    </w:rPr>
                  </w:pPr>
                </w:p>
              </w:tc>
              <w:tc>
                <w:tcPr>
                  <w:tcW w:w="1116" w:type="dxa"/>
                  <w:vMerge w:val="continue"/>
                  <w:tcBorders>
                    <w:tl2br w:val="nil"/>
                    <w:tr2bl w:val="nil"/>
                  </w:tcBorders>
                  <w:vAlign w:val="center"/>
                </w:tcPr>
                <w:p w14:paraId="4FF330C2">
                  <w:pPr>
                    <w:rPr>
                      <w:rFonts w:eastAsia="仿宋"/>
                      <w:color w:val="auto"/>
                      <w:sz w:val="21"/>
                      <w:szCs w:val="21"/>
                    </w:rPr>
                  </w:pPr>
                </w:p>
              </w:tc>
            </w:tr>
            <w:tr w14:paraId="0FD7F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Merge w:val="continue"/>
                  <w:tcBorders>
                    <w:tl2br w:val="nil"/>
                    <w:tr2bl w:val="nil"/>
                  </w:tcBorders>
                  <w:vAlign w:val="center"/>
                </w:tcPr>
                <w:p w14:paraId="18216BBA">
                  <w:pPr>
                    <w:rPr>
                      <w:rFonts w:eastAsia="仿宋"/>
                      <w:color w:val="auto"/>
                      <w:sz w:val="21"/>
                      <w:szCs w:val="21"/>
                    </w:rPr>
                  </w:pPr>
                </w:p>
              </w:tc>
              <w:tc>
                <w:tcPr>
                  <w:tcW w:w="1178" w:type="dxa"/>
                  <w:vMerge w:val="continue"/>
                  <w:tcBorders>
                    <w:tl2br w:val="nil"/>
                    <w:tr2bl w:val="nil"/>
                  </w:tcBorders>
                  <w:vAlign w:val="center"/>
                </w:tcPr>
                <w:p w14:paraId="3C2B4F7C">
                  <w:pPr>
                    <w:rPr>
                      <w:rFonts w:eastAsia="仿宋"/>
                      <w:color w:val="auto"/>
                      <w:sz w:val="21"/>
                      <w:szCs w:val="21"/>
                    </w:rPr>
                  </w:pPr>
                </w:p>
              </w:tc>
              <w:tc>
                <w:tcPr>
                  <w:tcW w:w="785" w:type="dxa"/>
                  <w:tcBorders>
                    <w:tl2br w:val="nil"/>
                    <w:tr2bl w:val="nil"/>
                  </w:tcBorders>
                  <w:vAlign w:val="center"/>
                </w:tcPr>
                <w:p w14:paraId="01DDD90A">
                  <w:pPr>
                    <w:jc w:val="center"/>
                    <w:rPr>
                      <w:rStyle w:val="15"/>
                      <w:rFonts w:hint="default" w:ascii="Times New Roman" w:hAnsi="Times New Roman" w:eastAsia="仿宋"/>
                      <w:color w:val="auto"/>
                      <w:sz w:val="21"/>
                      <w:szCs w:val="21"/>
                      <w:lang w:bidi="ar"/>
                    </w:rPr>
                  </w:pPr>
                  <w:r>
                    <w:rPr>
                      <w:rStyle w:val="15"/>
                      <w:rFonts w:hint="default" w:ascii="Times New Roman" w:hAnsi="Times New Roman" w:eastAsia="仿宋"/>
                      <w:color w:val="auto"/>
                      <w:sz w:val="21"/>
                      <w:szCs w:val="21"/>
                      <w:lang w:bidi="ar"/>
                    </w:rPr>
                    <w:t>终点</w:t>
                  </w:r>
                  <w:r>
                    <w:rPr>
                      <w:rStyle w:val="19"/>
                      <w:rFonts w:ascii="Times New Roman" w:hAnsi="Times New Roman" w:eastAsia="仿宋" w:cs="Times New Roman"/>
                      <w:color w:val="auto"/>
                      <w:sz w:val="21"/>
                      <w:szCs w:val="21"/>
                      <w:lang w:bidi="ar"/>
                    </w:rPr>
                    <w:t>1</w:t>
                  </w:r>
                </w:p>
              </w:tc>
              <w:tc>
                <w:tcPr>
                  <w:tcW w:w="1605" w:type="dxa"/>
                  <w:tcBorders>
                    <w:tl2br w:val="nil"/>
                    <w:tr2bl w:val="nil"/>
                  </w:tcBorders>
                  <w:vAlign w:val="center"/>
                </w:tcPr>
                <w:p w14:paraId="2415DAEF">
                  <w:pPr>
                    <w:jc w:val="center"/>
                    <w:rPr>
                      <w:rStyle w:val="19"/>
                      <w:rFonts w:ascii="Times New Roman" w:hAnsi="Times New Roman" w:eastAsia="仿宋" w:cs="Times New Roman"/>
                      <w:color w:val="auto"/>
                      <w:sz w:val="21"/>
                      <w:szCs w:val="21"/>
                      <w:lang w:bidi="ar"/>
                    </w:rPr>
                  </w:pPr>
                  <w:r>
                    <w:rPr>
                      <w:rStyle w:val="19"/>
                      <w:rFonts w:ascii="Times New Roman" w:hAnsi="Times New Roman" w:eastAsia="仿宋" w:cs="Times New Roman"/>
                      <w:color w:val="auto"/>
                      <w:sz w:val="21"/>
                      <w:szCs w:val="21"/>
                      <w:lang w:bidi="ar"/>
                    </w:rPr>
                    <w:t>119°36′44.934″</w:t>
                  </w:r>
                </w:p>
              </w:tc>
              <w:tc>
                <w:tcPr>
                  <w:tcW w:w="1518" w:type="dxa"/>
                  <w:tcBorders>
                    <w:tl2br w:val="nil"/>
                    <w:tr2bl w:val="nil"/>
                  </w:tcBorders>
                  <w:vAlign w:val="center"/>
                </w:tcPr>
                <w:p w14:paraId="1A850C76">
                  <w:pPr>
                    <w:jc w:val="center"/>
                    <w:rPr>
                      <w:rStyle w:val="19"/>
                      <w:rFonts w:ascii="Times New Roman" w:hAnsi="Times New Roman" w:eastAsia="仿宋" w:cs="Times New Roman"/>
                      <w:color w:val="auto"/>
                      <w:sz w:val="21"/>
                      <w:szCs w:val="21"/>
                      <w:lang w:bidi="ar"/>
                    </w:rPr>
                  </w:pPr>
                  <w:r>
                    <w:rPr>
                      <w:rStyle w:val="19"/>
                      <w:rFonts w:ascii="Times New Roman" w:hAnsi="Times New Roman" w:eastAsia="仿宋" w:cs="Times New Roman"/>
                      <w:color w:val="auto"/>
                      <w:sz w:val="21"/>
                      <w:szCs w:val="21"/>
                      <w:lang w:bidi="ar"/>
                    </w:rPr>
                    <w:t>34°31′26.679″</w:t>
                  </w:r>
                </w:p>
              </w:tc>
              <w:tc>
                <w:tcPr>
                  <w:tcW w:w="992" w:type="dxa"/>
                  <w:vMerge w:val="continue"/>
                  <w:tcBorders>
                    <w:tl2br w:val="nil"/>
                    <w:tr2bl w:val="nil"/>
                  </w:tcBorders>
                  <w:vAlign w:val="center"/>
                </w:tcPr>
                <w:p w14:paraId="12A21DD8">
                  <w:pPr>
                    <w:rPr>
                      <w:rFonts w:eastAsia="仿宋"/>
                      <w:color w:val="auto"/>
                      <w:sz w:val="21"/>
                      <w:szCs w:val="21"/>
                    </w:rPr>
                  </w:pPr>
                </w:p>
              </w:tc>
              <w:tc>
                <w:tcPr>
                  <w:tcW w:w="992" w:type="dxa"/>
                  <w:vMerge w:val="continue"/>
                  <w:tcBorders>
                    <w:tl2br w:val="nil"/>
                    <w:tr2bl w:val="nil"/>
                  </w:tcBorders>
                  <w:vAlign w:val="center"/>
                </w:tcPr>
                <w:p w14:paraId="173B8C2A">
                  <w:pPr>
                    <w:rPr>
                      <w:rFonts w:eastAsia="仿宋"/>
                      <w:color w:val="auto"/>
                      <w:sz w:val="21"/>
                      <w:szCs w:val="21"/>
                    </w:rPr>
                  </w:pPr>
                </w:p>
              </w:tc>
              <w:tc>
                <w:tcPr>
                  <w:tcW w:w="1116" w:type="dxa"/>
                  <w:vMerge w:val="continue"/>
                  <w:tcBorders>
                    <w:tl2br w:val="nil"/>
                    <w:tr2bl w:val="nil"/>
                  </w:tcBorders>
                  <w:vAlign w:val="center"/>
                </w:tcPr>
                <w:p w14:paraId="4B434F87">
                  <w:pPr>
                    <w:rPr>
                      <w:rFonts w:eastAsia="仿宋"/>
                      <w:color w:val="auto"/>
                      <w:sz w:val="21"/>
                      <w:szCs w:val="21"/>
                    </w:rPr>
                  </w:pPr>
                </w:p>
              </w:tc>
            </w:tr>
            <w:tr w14:paraId="38C3E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Merge w:val="continue"/>
                  <w:tcBorders>
                    <w:tl2br w:val="nil"/>
                    <w:tr2bl w:val="nil"/>
                  </w:tcBorders>
                  <w:vAlign w:val="center"/>
                </w:tcPr>
                <w:p w14:paraId="67791E3D">
                  <w:pPr>
                    <w:rPr>
                      <w:rFonts w:eastAsia="仿宋"/>
                      <w:color w:val="auto"/>
                      <w:sz w:val="21"/>
                      <w:szCs w:val="21"/>
                    </w:rPr>
                  </w:pPr>
                </w:p>
              </w:tc>
              <w:tc>
                <w:tcPr>
                  <w:tcW w:w="1178" w:type="dxa"/>
                  <w:vMerge w:val="continue"/>
                  <w:tcBorders>
                    <w:tl2br w:val="nil"/>
                    <w:tr2bl w:val="nil"/>
                  </w:tcBorders>
                  <w:vAlign w:val="center"/>
                </w:tcPr>
                <w:p w14:paraId="3F7B349E">
                  <w:pPr>
                    <w:rPr>
                      <w:rFonts w:eastAsia="仿宋"/>
                      <w:color w:val="auto"/>
                      <w:sz w:val="21"/>
                      <w:szCs w:val="21"/>
                    </w:rPr>
                  </w:pPr>
                </w:p>
              </w:tc>
              <w:tc>
                <w:tcPr>
                  <w:tcW w:w="785" w:type="dxa"/>
                  <w:tcBorders>
                    <w:tl2br w:val="nil"/>
                    <w:tr2bl w:val="nil"/>
                  </w:tcBorders>
                  <w:vAlign w:val="center"/>
                </w:tcPr>
                <w:p w14:paraId="6F68B209">
                  <w:pPr>
                    <w:jc w:val="center"/>
                    <w:rPr>
                      <w:rStyle w:val="15"/>
                      <w:rFonts w:hint="default" w:ascii="Times New Roman" w:hAnsi="Times New Roman" w:eastAsia="仿宋"/>
                      <w:color w:val="auto"/>
                      <w:sz w:val="21"/>
                      <w:szCs w:val="21"/>
                      <w:lang w:bidi="ar"/>
                    </w:rPr>
                  </w:pPr>
                  <w:r>
                    <w:rPr>
                      <w:rStyle w:val="15"/>
                      <w:rFonts w:hint="default" w:ascii="Times New Roman" w:hAnsi="Times New Roman" w:eastAsia="仿宋"/>
                      <w:color w:val="auto"/>
                      <w:sz w:val="21"/>
                      <w:szCs w:val="21"/>
                      <w:lang w:bidi="ar"/>
                    </w:rPr>
                    <w:t xml:space="preserve">终点 </w:t>
                  </w:r>
                  <w:r>
                    <w:rPr>
                      <w:rStyle w:val="19"/>
                      <w:rFonts w:ascii="Times New Roman" w:hAnsi="Times New Roman" w:eastAsia="仿宋" w:cs="Times New Roman"/>
                      <w:color w:val="auto"/>
                      <w:sz w:val="21"/>
                      <w:szCs w:val="21"/>
                      <w:lang w:bidi="ar"/>
                    </w:rPr>
                    <w:t>2</w:t>
                  </w:r>
                </w:p>
              </w:tc>
              <w:tc>
                <w:tcPr>
                  <w:tcW w:w="1605" w:type="dxa"/>
                  <w:tcBorders>
                    <w:tl2br w:val="nil"/>
                    <w:tr2bl w:val="nil"/>
                  </w:tcBorders>
                  <w:vAlign w:val="center"/>
                </w:tcPr>
                <w:p w14:paraId="38500B2B">
                  <w:pPr>
                    <w:jc w:val="center"/>
                    <w:rPr>
                      <w:rStyle w:val="19"/>
                      <w:rFonts w:ascii="Times New Roman" w:hAnsi="Times New Roman" w:eastAsia="仿宋" w:cs="Times New Roman"/>
                      <w:color w:val="auto"/>
                      <w:sz w:val="21"/>
                      <w:szCs w:val="21"/>
                      <w:lang w:bidi="ar"/>
                    </w:rPr>
                  </w:pPr>
                  <w:r>
                    <w:rPr>
                      <w:rStyle w:val="19"/>
                      <w:rFonts w:ascii="Times New Roman" w:hAnsi="Times New Roman" w:eastAsia="仿宋" w:cs="Times New Roman"/>
                      <w:color w:val="auto"/>
                      <w:sz w:val="21"/>
                      <w:szCs w:val="21"/>
                      <w:lang w:bidi="ar"/>
                    </w:rPr>
                    <w:t>119°37′33.997″</w:t>
                  </w:r>
                </w:p>
              </w:tc>
              <w:tc>
                <w:tcPr>
                  <w:tcW w:w="1518" w:type="dxa"/>
                  <w:tcBorders>
                    <w:tl2br w:val="nil"/>
                    <w:tr2bl w:val="nil"/>
                  </w:tcBorders>
                  <w:vAlign w:val="center"/>
                </w:tcPr>
                <w:p w14:paraId="5EB0C435">
                  <w:pPr>
                    <w:jc w:val="center"/>
                    <w:rPr>
                      <w:rStyle w:val="19"/>
                      <w:rFonts w:ascii="Times New Roman" w:hAnsi="Times New Roman" w:eastAsia="仿宋" w:cs="Times New Roman"/>
                      <w:color w:val="auto"/>
                      <w:sz w:val="21"/>
                      <w:szCs w:val="21"/>
                      <w:lang w:bidi="ar"/>
                    </w:rPr>
                  </w:pPr>
                  <w:r>
                    <w:rPr>
                      <w:rStyle w:val="19"/>
                      <w:rFonts w:ascii="Times New Roman" w:hAnsi="Times New Roman" w:eastAsia="仿宋" w:cs="Times New Roman"/>
                      <w:color w:val="auto"/>
                      <w:sz w:val="21"/>
                      <w:szCs w:val="21"/>
                      <w:lang w:bidi="ar"/>
                    </w:rPr>
                    <w:t>34°32′21.502″</w:t>
                  </w:r>
                </w:p>
              </w:tc>
              <w:tc>
                <w:tcPr>
                  <w:tcW w:w="992" w:type="dxa"/>
                  <w:vMerge w:val="continue"/>
                  <w:tcBorders>
                    <w:tl2br w:val="nil"/>
                    <w:tr2bl w:val="nil"/>
                  </w:tcBorders>
                  <w:vAlign w:val="center"/>
                </w:tcPr>
                <w:p w14:paraId="3FD1E7E9">
                  <w:pPr>
                    <w:rPr>
                      <w:rFonts w:eastAsia="仿宋"/>
                      <w:color w:val="auto"/>
                      <w:sz w:val="21"/>
                      <w:szCs w:val="21"/>
                    </w:rPr>
                  </w:pPr>
                </w:p>
              </w:tc>
              <w:tc>
                <w:tcPr>
                  <w:tcW w:w="992" w:type="dxa"/>
                  <w:vMerge w:val="continue"/>
                  <w:tcBorders>
                    <w:tl2br w:val="nil"/>
                    <w:tr2bl w:val="nil"/>
                  </w:tcBorders>
                  <w:vAlign w:val="center"/>
                </w:tcPr>
                <w:p w14:paraId="2F438012">
                  <w:pPr>
                    <w:rPr>
                      <w:rFonts w:eastAsia="仿宋"/>
                      <w:color w:val="auto"/>
                      <w:sz w:val="21"/>
                      <w:szCs w:val="21"/>
                    </w:rPr>
                  </w:pPr>
                </w:p>
              </w:tc>
              <w:tc>
                <w:tcPr>
                  <w:tcW w:w="1116" w:type="dxa"/>
                  <w:vMerge w:val="continue"/>
                  <w:tcBorders>
                    <w:tl2br w:val="nil"/>
                    <w:tr2bl w:val="nil"/>
                  </w:tcBorders>
                  <w:vAlign w:val="center"/>
                </w:tcPr>
                <w:p w14:paraId="5AA98285">
                  <w:pPr>
                    <w:rPr>
                      <w:rFonts w:eastAsia="仿宋"/>
                      <w:color w:val="auto"/>
                      <w:sz w:val="21"/>
                      <w:szCs w:val="21"/>
                    </w:rPr>
                  </w:pPr>
                </w:p>
              </w:tc>
            </w:tr>
            <w:tr w14:paraId="007E2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7" w:type="dxa"/>
                  <w:gridSpan w:val="8"/>
                  <w:tcBorders>
                    <w:tl2br w:val="nil"/>
                    <w:tr2bl w:val="nil"/>
                  </w:tcBorders>
                  <w:vAlign w:val="center"/>
                </w:tcPr>
                <w:p w14:paraId="69E3DB87">
                  <w:pPr>
                    <w:rPr>
                      <w:rStyle w:val="19"/>
                      <w:rFonts w:eastAsiaTheme="minorEastAsia"/>
                      <w:color w:val="auto"/>
                    </w:rPr>
                  </w:pPr>
                  <w:r>
                    <w:rPr>
                      <w:rStyle w:val="15"/>
                      <w:rFonts w:hint="default" w:ascii="Times New Roman" w:hAnsi="Times New Roman" w:eastAsia="仿宋"/>
                      <w:color w:val="auto"/>
                      <w:sz w:val="21"/>
                      <w:szCs w:val="21"/>
                      <w:lang w:bidi="ar"/>
                    </w:rPr>
                    <w:t>说明：</w:t>
                  </w:r>
                </w:p>
                <w:p w14:paraId="15F808DC">
                  <w:pPr>
                    <w:rPr>
                      <w:rFonts w:eastAsia="仿宋"/>
                      <w:color w:val="auto"/>
                      <w:sz w:val="21"/>
                      <w:szCs w:val="21"/>
                    </w:rPr>
                  </w:pPr>
                  <w:r>
                    <w:rPr>
                      <w:rStyle w:val="15"/>
                      <w:rFonts w:hint="default" w:ascii="Times New Roman" w:hAnsi="Times New Roman" w:eastAsia="仿宋"/>
                      <w:color w:val="auto"/>
                      <w:sz w:val="21"/>
                      <w:szCs w:val="21"/>
                      <w:lang w:bidi="ar"/>
                    </w:rPr>
                    <w:t>丁烷输送管线起点为荣泰仓储北侧围墙（北</w:t>
                  </w:r>
                  <w:r>
                    <w:rPr>
                      <w:rStyle w:val="19"/>
                      <w:rFonts w:ascii="Times New Roman" w:hAnsi="Times New Roman" w:eastAsia="仿宋" w:cs="Times New Roman"/>
                      <w:color w:val="auto"/>
                      <w:sz w:val="21"/>
                      <w:szCs w:val="21"/>
                      <w:lang w:bidi="ar"/>
                    </w:rPr>
                    <w:t>3</w:t>
                  </w:r>
                  <w:r>
                    <w:rPr>
                      <w:rStyle w:val="15"/>
                      <w:rFonts w:hint="default" w:ascii="Times New Roman" w:hAnsi="Times New Roman" w:eastAsia="仿宋"/>
                      <w:color w:val="auto"/>
                      <w:sz w:val="21"/>
                      <w:szCs w:val="21"/>
                      <w:lang w:bidi="ar"/>
                    </w:rPr>
                    <w:t>接点），终点</w:t>
                  </w:r>
                  <w:r>
                    <w:rPr>
                      <w:rStyle w:val="19"/>
                      <w:rFonts w:ascii="Times New Roman" w:hAnsi="Times New Roman" w:eastAsia="仿宋" w:cs="Times New Roman"/>
                      <w:color w:val="auto"/>
                      <w:sz w:val="21"/>
                      <w:szCs w:val="21"/>
                      <w:lang w:bidi="ar"/>
                    </w:rPr>
                    <w:t>1</w:t>
                  </w:r>
                  <w:r>
                    <w:rPr>
                      <w:rStyle w:val="15"/>
                      <w:rFonts w:hint="default" w:ascii="Times New Roman" w:hAnsi="Times New Roman" w:eastAsia="仿宋"/>
                      <w:color w:val="auto"/>
                      <w:sz w:val="21"/>
                      <w:szCs w:val="21"/>
                      <w:lang w:bidi="ar"/>
                    </w:rPr>
                    <w:t>为盛虹炼化界区红线（</w:t>
                  </w:r>
                  <w:r>
                    <w:rPr>
                      <w:rStyle w:val="19"/>
                      <w:rFonts w:ascii="Times New Roman" w:hAnsi="Times New Roman" w:eastAsia="仿宋" w:cs="Times New Roman"/>
                      <w:color w:val="auto"/>
                      <w:sz w:val="21"/>
                      <w:szCs w:val="21"/>
                      <w:lang w:bidi="ar"/>
                    </w:rPr>
                    <w:t>12</w:t>
                  </w:r>
                  <w:r>
                    <w:rPr>
                      <w:rStyle w:val="15"/>
                      <w:rFonts w:hint="default" w:ascii="Times New Roman" w:hAnsi="Times New Roman" w:eastAsia="仿宋"/>
                      <w:color w:val="auto"/>
                      <w:sz w:val="21"/>
                      <w:szCs w:val="21"/>
                      <w:lang w:bidi="ar"/>
                    </w:rPr>
                    <w:t>号门）外</w:t>
                  </w:r>
                  <w:r>
                    <w:rPr>
                      <w:rStyle w:val="19"/>
                      <w:rFonts w:ascii="Times New Roman" w:hAnsi="Times New Roman" w:eastAsia="仿宋" w:cs="Times New Roman"/>
                      <w:color w:val="auto"/>
                      <w:sz w:val="21"/>
                      <w:szCs w:val="21"/>
                      <w:lang w:bidi="ar"/>
                    </w:rPr>
                    <w:t>1m</w:t>
                  </w:r>
                  <w:r>
                    <w:rPr>
                      <w:rStyle w:val="15"/>
                      <w:rFonts w:hint="default" w:ascii="Times New Roman" w:hAnsi="Times New Roman" w:eastAsia="仿宋"/>
                      <w:color w:val="auto"/>
                      <w:sz w:val="21"/>
                      <w:szCs w:val="21"/>
                      <w:lang w:bidi="ar"/>
                    </w:rPr>
                    <w:t>处，同时在途径虹港石化界区外红线</w:t>
                  </w:r>
                  <w:r>
                    <w:rPr>
                      <w:rStyle w:val="19"/>
                      <w:rFonts w:ascii="Times New Roman" w:hAnsi="Times New Roman" w:eastAsia="仿宋" w:cs="Times New Roman"/>
                      <w:color w:val="auto"/>
                      <w:sz w:val="21"/>
                      <w:szCs w:val="21"/>
                      <w:lang w:bidi="ar"/>
                    </w:rPr>
                    <w:t>1m</w:t>
                  </w:r>
                  <w:r>
                    <w:rPr>
                      <w:rStyle w:val="15"/>
                      <w:rFonts w:hint="default" w:ascii="Times New Roman" w:hAnsi="Times New Roman" w:eastAsia="仿宋"/>
                      <w:color w:val="auto"/>
                      <w:sz w:val="21"/>
                      <w:szCs w:val="21"/>
                      <w:lang w:bidi="ar"/>
                    </w:rPr>
                    <w:t>处预留甩头即终点</w:t>
                  </w:r>
                  <w:r>
                    <w:rPr>
                      <w:rStyle w:val="19"/>
                      <w:rFonts w:ascii="Times New Roman" w:hAnsi="Times New Roman" w:eastAsia="仿宋" w:cs="Times New Roman"/>
                      <w:color w:val="auto"/>
                      <w:sz w:val="21"/>
                      <w:szCs w:val="21"/>
                      <w:lang w:bidi="ar"/>
                    </w:rPr>
                    <w:t>2</w:t>
                  </w:r>
                  <w:r>
                    <w:rPr>
                      <w:rStyle w:val="15"/>
                      <w:rFonts w:hint="default" w:ascii="Times New Roman" w:hAnsi="Times New Roman" w:eastAsia="仿宋"/>
                      <w:color w:val="auto"/>
                      <w:sz w:val="21"/>
                      <w:szCs w:val="21"/>
                      <w:lang w:bidi="ar"/>
                    </w:rPr>
                    <w:t>；</w:t>
                  </w:r>
                </w:p>
              </w:tc>
            </w:tr>
          </w:tbl>
          <w:p w14:paraId="4E591B56">
            <w:pPr>
              <w:pStyle w:val="14"/>
              <w:kinsoku w:val="0"/>
              <w:overflowPunct w:val="0"/>
              <w:adjustRightInd/>
              <w:spacing w:line="500" w:lineRule="exact"/>
              <w:ind w:firstLine="480" w:firstLineChars="200"/>
              <w:jc w:val="both"/>
              <w:rPr>
                <w:rFonts w:eastAsia="仿宋"/>
                <w:color w:val="auto"/>
              </w:rPr>
            </w:pPr>
          </w:p>
          <w:p w14:paraId="422F7135">
            <w:pPr>
              <w:autoSpaceDE/>
              <w:autoSpaceDN/>
              <w:adjustRightInd/>
              <w:spacing w:line="360" w:lineRule="exact"/>
              <w:jc w:val="center"/>
              <w:outlineLvl w:val="2"/>
              <w:rPr>
                <w:rFonts w:eastAsia="仿宋"/>
                <w:b/>
                <w:color w:val="auto"/>
                <w:kern w:val="2"/>
              </w:rPr>
            </w:pPr>
          </w:p>
          <w:p w14:paraId="59D56D2C">
            <w:pPr>
              <w:autoSpaceDE/>
              <w:autoSpaceDN/>
              <w:adjustRightInd/>
              <w:spacing w:line="360" w:lineRule="exact"/>
              <w:jc w:val="center"/>
              <w:outlineLvl w:val="2"/>
              <w:rPr>
                <w:rFonts w:eastAsia="仿宋"/>
                <w:b/>
                <w:color w:val="auto"/>
                <w:kern w:val="2"/>
              </w:rPr>
            </w:pPr>
          </w:p>
          <w:p w14:paraId="54A637A0">
            <w:pPr>
              <w:autoSpaceDE/>
              <w:autoSpaceDN/>
              <w:adjustRightInd/>
              <w:spacing w:line="360" w:lineRule="exact"/>
              <w:jc w:val="center"/>
              <w:outlineLvl w:val="2"/>
              <w:rPr>
                <w:rFonts w:eastAsia="仿宋"/>
                <w:b/>
                <w:color w:val="auto"/>
                <w:kern w:val="2"/>
              </w:rPr>
            </w:pPr>
          </w:p>
          <w:p w14:paraId="410BB7E1">
            <w:pPr>
              <w:autoSpaceDE/>
              <w:autoSpaceDN/>
              <w:adjustRightInd/>
              <w:spacing w:line="360" w:lineRule="exact"/>
              <w:jc w:val="center"/>
              <w:outlineLvl w:val="2"/>
              <w:rPr>
                <w:rFonts w:eastAsia="仿宋"/>
                <w:b/>
                <w:color w:val="auto"/>
                <w:kern w:val="2"/>
              </w:rPr>
            </w:pPr>
          </w:p>
          <w:p w14:paraId="46167221">
            <w:pPr>
              <w:autoSpaceDE/>
              <w:autoSpaceDN/>
              <w:adjustRightInd/>
              <w:spacing w:line="360" w:lineRule="exact"/>
              <w:jc w:val="center"/>
              <w:outlineLvl w:val="2"/>
              <w:rPr>
                <w:rFonts w:eastAsia="仿宋"/>
                <w:b/>
                <w:color w:val="auto"/>
                <w:kern w:val="2"/>
              </w:rPr>
            </w:pPr>
          </w:p>
          <w:p w14:paraId="016B1A8D">
            <w:pPr>
              <w:pStyle w:val="14"/>
              <w:kinsoku w:val="0"/>
              <w:overflowPunct w:val="0"/>
              <w:adjustRightInd/>
              <w:spacing w:line="500" w:lineRule="exact"/>
              <w:ind w:firstLine="480" w:firstLineChars="200"/>
              <w:jc w:val="both"/>
              <w:rPr>
                <w:rFonts w:eastAsia="仿宋"/>
                <w:color w:val="auto"/>
              </w:rPr>
            </w:pPr>
            <w:r>
              <w:rPr>
                <w:rFonts w:eastAsia="仿宋"/>
                <w:color w:val="auto"/>
              </w:rPr>
              <w:t>管道建设情况见下图：</w:t>
            </w:r>
          </w:p>
          <w:tbl>
            <w:tblPr>
              <w:tblStyle w:val="8"/>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7"/>
            </w:tblGrid>
            <w:tr w14:paraId="1596A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57" w:type="dxa"/>
                  <w:vAlign w:val="center"/>
                </w:tcPr>
                <w:p w14:paraId="5C2715AE">
                  <w:pPr>
                    <w:pStyle w:val="14"/>
                    <w:kinsoku w:val="0"/>
                    <w:overflowPunct w:val="0"/>
                    <w:adjustRightInd/>
                    <w:spacing w:line="300" w:lineRule="auto"/>
                    <w:jc w:val="center"/>
                    <w:rPr>
                      <w:rFonts w:hint="eastAsia" w:eastAsia="仿宋"/>
                      <w:color w:val="auto"/>
                      <w:lang w:eastAsia="zh-CN"/>
                    </w:rPr>
                  </w:pPr>
                  <w:r>
                    <w:rPr>
                      <w:rFonts w:hint="eastAsia" w:eastAsia="仿宋"/>
                      <w:color w:val="auto"/>
                      <w:lang w:eastAsia="zh-CN"/>
                    </w:rPr>
                    <w:drawing>
                      <wp:inline distT="0" distB="0" distL="114300" distR="114300">
                        <wp:extent cx="5553710" cy="6499860"/>
                        <wp:effectExtent l="0" t="0" r="8890" b="15240"/>
                        <wp:docPr id="6" name="图片 6" descr="连云港荣泰化工仓储有限公司技改优化提升项目环境影响报告表-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连云港荣泰化工仓储有限公司技改优化提升项目环境影响报告表-138"/>
                                <pic:cNvPicPr>
                                  <a:picLocks noChangeAspect="1"/>
                                </pic:cNvPicPr>
                              </pic:nvPicPr>
                              <pic:blipFill>
                                <a:blip r:embed="rId8"/>
                                <a:srcRect l="5827" t="5316" r="5988" b="6591"/>
                                <a:stretch>
                                  <a:fillRect/>
                                </a:stretch>
                              </pic:blipFill>
                              <pic:spPr>
                                <a:xfrm>
                                  <a:off x="0" y="0"/>
                                  <a:ext cx="5553710" cy="6499860"/>
                                </a:xfrm>
                                <a:prstGeom prst="rect">
                                  <a:avLst/>
                                </a:prstGeom>
                              </pic:spPr>
                            </pic:pic>
                          </a:graphicData>
                        </a:graphic>
                      </wp:inline>
                    </w:drawing>
                  </w:r>
                </w:p>
              </w:tc>
            </w:tr>
            <w:tr w14:paraId="22855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8957" w:type="dxa"/>
                  <w:vAlign w:val="center"/>
                </w:tcPr>
                <w:p w14:paraId="720BA8C7">
                  <w:pPr>
                    <w:pStyle w:val="14"/>
                    <w:kinsoku w:val="0"/>
                    <w:overflowPunct w:val="0"/>
                    <w:adjustRightInd/>
                    <w:spacing w:line="300" w:lineRule="auto"/>
                    <w:jc w:val="center"/>
                    <w:rPr>
                      <w:rFonts w:eastAsia="仿宋"/>
                      <w:b/>
                      <w:color w:val="auto"/>
                    </w:rPr>
                  </w:pPr>
                  <w:r>
                    <w:rPr>
                      <w:rFonts w:hint="eastAsia" w:eastAsia="仿宋"/>
                      <w:b/>
                      <w:color w:val="auto"/>
                    </w:rPr>
                    <w:t>本项目输送关系路由示意图</w:t>
                  </w:r>
                </w:p>
              </w:tc>
            </w:tr>
            <w:tr w14:paraId="120B0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7" w:type="dxa"/>
                  <w:vAlign w:val="center"/>
                </w:tcPr>
                <w:p w14:paraId="5A11F1A4">
                  <w:pPr>
                    <w:pStyle w:val="14"/>
                    <w:kinsoku w:val="0"/>
                    <w:overflowPunct w:val="0"/>
                    <w:adjustRightInd/>
                    <w:spacing w:line="300" w:lineRule="auto"/>
                    <w:jc w:val="center"/>
                    <w:rPr>
                      <w:rFonts w:hint="eastAsia" w:eastAsiaTheme="minorEastAsia"/>
                      <w:color w:val="auto"/>
                      <w:lang w:eastAsia="zh-CN"/>
                    </w:rPr>
                  </w:pPr>
                  <w:r>
                    <w:rPr>
                      <w:rFonts w:hint="eastAsia" w:eastAsiaTheme="minorEastAsia"/>
                      <w:color w:val="auto"/>
                      <w:lang w:eastAsia="zh-CN"/>
                    </w:rPr>
                    <w:drawing>
                      <wp:inline distT="0" distB="0" distL="114300" distR="114300">
                        <wp:extent cx="5626100" cy="3462655"/>
                        <wp:effectExtent l="0" t="0" r="12700" b="4445"/>
                        <wp:docPr id="5" name="图片 5" descr="连云港荣泰化工仓储有限公司技改优化提升项目环境影响报告表-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连云港荣泰化工仓储有限公司技改优化提升项目环境影响报告表-143"/>
                                <pic:cNvPicPr>
                                  <a:picLocks noChangeAspect="1"/>
                                </pic:cNvPicPr>
                              </pic:nvPicPr>
                              <pic:blipFill>
                                <a:blip r:embed="rId9"/>
                                <a:srcRect l="1648" t="5034" r="1602" b="10748"/>
                                <a:stretch>
                                  <a:fillRect/>
                                </a:stretch>
                              </pic:blipFill>
                              <pic:spPr>
                                <a:xfrm>
                                  <a:off x="0" y="0"/>
                                  <a:ext cx="5626100" cy="3462655"/>
                                </a:xfrm>
                                <a:prstGeom prst="rect">
                                  <a:avLst/>
                                </a:prstGeom>
                              </pic:spPr>
                            </pic:pic>
                          </a:graphicData>
                        </a:graphic>
                      </wp:inline>
                    </w:drawing>
                  </w:r>
                </w:p>
                <w:p w14:paraId="010EA806">
                  <w:pPr>
                    <w:pStyle w:val="14"/>
                    <w:kinsoku w:val="0"/>
                    <w:overflowPunct w:val="0"/>
                    <w:adjustRightInd/>
                    <w:spacing w:line="300" w:lineRule="auto"/>
                    <w:jc w:val="center"/>
                    <w:rPr>
                      <w:rFonts w:eastAsia="仿宋"/>
                      <w:color w:val="auto"/>
                    </w:rPr>
                  </w:pPr>
                  <w:r>
                    <w:rPr>
                      <w:rFonts w:hint="eastAsia" w:eastAsia="仿宋"/>
                      <w:b/>
                      <w:bCs/>
                      <w:color w:val="auto"/>
                    </w:rPr>
                    <w:t>厂区平面布置图及本项目新建管线厂内路由图</w:t>
                  </w:r>
                </w:p>
              </w:tc>
            </w:tr>
            <w:tr w14:paraId="303A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3" w:hRule="atLeast"/>
                <w:jc w:val="center"/>
              </w:trPr>
              <w:tc>
                <w:tcPr>
                  <w:tcW w:w="8957" w:type="dxa"/>
                  <w:vAlign w:val="center"/>
                </w:tcPr>
                <w:p w14:paraId="62B911A1">
                  <w:pPr>
                    <w:pStyle w:val="14"/>
                    <w:kinsoku w:val="0"/>
                    <w:overflowPunct w:val="0"/>
                    <w:adjustRightInd/>
                    <w:spacing w:line="300" w:lineRule="auto"/>
                    <w:jc w:val="center"/>
                    <w:rPr>
                      <w:color w:val="auto"/>
                    </w:rPr>
                  </w:pPr>
                  <w:r>
                    <w:rPr>
                      <w:color w:val="auto"/>
                    </w:rPr>
                    <w:drawing>
                      <wp:inline distT="0" distB="0" distL="114300" distR="114300">
                        <wp:extent cx="5550535" cy="6436360"/>
                        <wp:effectExtent l="0" t="0" r="12065" b="2540"/>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10"/>
                                <a:stretch>
                                  <a:fillRect/>
                                </a:stretch>
                              </pic:blipFill>
                              <pic:spPr>
                                <a:xfrm>
                                  <a:off x="0" y="0"/>
                                  <a:ext cx="5550535" cy="6436360"/>
                                </a:xfrm>
                                <a:prstGeom prst="rect">
                                  <a:avLst/>
                                </a:prstGeom>
                                <a:noFill/>
                                <a:ln>
                                  <a:noFill/>
                                </a:ln>
                              </pic:spPr>
                            </pic:pic>
                          </a:graphicData>
                        </a:graphic>
                      </wp:inline>
                    </w:drawing>
                  </w:r>
                </w:p>
                <w:p w14:paraId="6B40FD83">
                  <w:pPr>
                    <w:pStyle w:val="14"/>
                    <w:kinsoku w:val="0"/>
                    <w:overflowPunct w:val="0"/>
                    <w:adjustRightInd/>
                    <w:spacing w:line="300" w:lineRule="auto"/>
                    <w:jc w:val="center"/>
                    <w:rPr>
                      <w:color w:val="auto"/>
                    </w:rPr>
                  </w:pPr>
                </w:p>
                <w:p w14:paraId="6766C0AE">
                  <w:pPr>
                    <w:pStyle w:val="14"/>
                    <w:kinsoku w:val="0"/>
                    <w:overflowPunct w:val="0"/>
                    <w:adjustRightInd/>
                    <w:spacing w:line="300" w:lineRule="auto"/>
                    <w:jc w:val="center"/>
                    <w:rPr>
                      <w:color w:val="auto"/>
                    </w:rPr>
                  </w:pPr>
                  <w:r>
                    <w:rPr>
                      <w:color w:val="auto"/>
                    </w:rPr>
                    <w:drawing>
                      <wp:inline distT="0" distB="0" distL="114300" distR="114300">
                        <wp:extent cx="5584190" cy="6477000"/>
                        <wp:effectExtent l="0" t="0" r="16510" b="0"/>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11"/>
                                <a:stretch>
                                  <a:fillRect/>
                                </a:stretch>
                              </pic:blipFill>
                              <pic:spPr>
                                <a:xfrm>
                                  <a:off x="0" y="0"/>
                                  <a:ext cx="5584190" cy="6477000"/>
                                </a:xfrm>
                                <a:prstGeom prst="rect">
                                  <a:avLst/>
                                </a:prstGeom>
                                <a:noFill/>
                                <a:ln>
                                  <a:noFill/>
                                </a:ln>
                              </pic:spPr>
                            </pic:pic>
                          </a:graphicData>
                        </a:graphic>
                      </wp:inline>
                    </w:drawing>
                  </w:r>
                </w:p>
                <w:p w14:paraId="00D7D219">
                  <w:pPr>
                    <w:pStyle w:val="14"/>
                    <w:kinsoku w:val="0"/>
                    <w:overflowPunct w:val="0"/>
                    <w:adjustRightInd/>
                    <w:spacing w:line="300" w:lineRule="auto"/>
                    <w:jc w:val="center"/>
                    <w:rPr>
                      <w:rFonts w:eastAsia="仿宋"/>
                      <w:color w:val="auto"/>
                    </w:rPr>
                  </w:pPr>
                  <w:r>
                    <w:rPr>
                      <w:color w:val="auto"/>
                    </w:rPr>
                    <w:drawing>
                      <wp:inline distT="0" distB="0" distL="114300" distR="114300">
                        <wp:extent cx="4770755" cy="7178040"/>
                        <wp:effectExtent l="0" t="0" r="10795" b="3810"/>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12"/>
                                <a:stretch>
                                  <a:fillRect/>
                                </a:stretch>
                              </pic:blipFill>
                              <pic:spPr>
                                <a:xfrm>
                                  <a:off x="0" y="0"/>
                                  <a:ext cx="4770755" cy="7178040"/>
                                </a:xfrm>
                                <a:prstGeom prst="rect">
                                  <a:avLst/>
                                </a:prstGeom>
                                <a:noFill/>
                                <a:ln>
                                  <a:noFill/>
                                </a:ln>
                              </pic:spPr>
                            </pic:pic>
                          </a:graphicData>
                        </a:graphic>
                      </wp:inline>
                    </w:drawing>
                  </w:r>
                </w:p>
              </w:tc>
            </w:tr>
          </w:tbl>
          <w:p w14:paraId="7F1A5AB6">
            <w:pPr>
              <w:pStyle w:val="14"/>
              <w:kinsoku w:val="0"/>
              <w:overflowPunct w:val="0"/>
              <w:adjustRightInd/>
              <w:jc w:val="both"/>
              <w:rPr>
                <w:rFonts w:eastAsia="仿宋"/>
                <w:b/>
                <w:bCs/>
                <w:color w:val="auto"/>
                <w:sz w:val="21"/>
                <w:szCs w:val="21"/>
              </w:rPr>
            </w:pPr>
          </w:p>
          <w:p w14:paraId="0E2A75C1">
            <w:pPr>
              <w:pStyle w:val="14"/>
              <w:kinsoku w:val="0"/>
              <w:overflowPunct w:val="0"/>
              <w:adjustRightInd/>
              <w:jc w:val="center"/>
              <w:rPr>
                <w:rFonts w:hint="eastAsia" w:eastAsia="仿宋"/>
                <w:b/>
                <w:bCs/>
                <w:color w:val="auto"/>
                <w:sz w:val="21"/>
                <w:szCs w:val="21"/>
                <w:lang w:eastAsia="zh-CN"/>
              </w:rPr>
            </w:pPr>
            <w:r>
              <w:rPr>
                <w:rFonts w:hint="eastAsia" w:eastAsia="仿宋"/>
                <w:b/>
                <w:bCs/>
                <w:color w:val="auto"/>
                <w:sz w:val="21"/>
                <w:szCs w:val="21"/>
                <w:lang w:eastAsia="zh-CN"/>
              </w:rPr>
              <w:drawing>
                <wp:inline distT="0" distB="0" distL="114300" distR="114300">
                  <wp:extent cx="2724150" cy="2044065"/>
                  <wp:effectExtent l="0" t="0" r="0" b="13335"/>
                  <wp:docPr id="20" name="图片 20" descr="fd28f9f9038af32bd8b0e22548b11d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d28f9f9038af32bd8b0e22548b11d1d"/>
                          <pic:cNvPicPr>
                            <a:picLocks noChangeAspect="1"/>
                          </pic:cNvPicPr>
                        </pic:nvPicPr>
                        <pic:blipFill>
                          <a:blip r:embed="rId13"/>
                          <a:stretch>
                            <a:fillRect/>
                          </a:stretch>
                        </pic:blipFill>
                        <pic:spPr>
                          <a:xfrm>
                            <a:off x="0" y="0"/>
                            <a:ext cx="2724150" cy="2044065"/>
                          </a:xfrm>
                          <a:prstGeom prst="rect">
                            <a:avLst/>
                          </a:prstGeom>
                        </pic:spPr>
                      </pic:pic>
                    </a:graphicData>
                  </a:graphic>
                </wp:inline>
              </w:drawing>
            </w:r>
            <w:r>
              <w:rPr>
                <w:rFonts w:hint="eastAsia" w:eastAsia="仿宋"/>
                <w:b/>
                <w:bCs/>
                <w:color w:val="auto"/>
                <w:sz w:val="21"/>
                <w:szCs w:val="21"/>
                <w:lang w:val="en-US" w:eastAsia="zh-CN"/>
              </w:rPr>
              <w:t xml:space="preserve"> </w:t>
            </w:r>
            <w:r>
              <w:rPr>
                <w:rFonts w:hint="eastAsia" w:eastAsia="仿宋"/>
                <w:b/>
                <w:bCs/>
                <w:color w:val="auto"/>
                <w:sz w:val="21"/>
                <w:szCs w:val="21"/>
                <w:lang w:eastAsia="zh-CN"/>
              </w:rPr>
              <w:drawing>
                <wp:inline distT="0" distB="0" distL="114300" distR="114300">
                  <wp:extent cx="2740660" cy="2056765"/>
                  <wp:effectExtent l="0" t="0" r="2540" b="635"/>
                  <wp:docPr id="22" name="图片 22" descr="735af2324154a1acaa7d4d7476eb18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735af2324154a1acaa7d4d7476eb187f"/>
                          <pic:cNvPicPr>
                            <a:picLocks noChangeAspect="1"/>
                          </pic:cNvPicPr>
                        </pic:nvPicPr>
                        <pic:blipFill>
                          <a:blip r:embed="rId14"/>
                          <a:stretch>
                            <a:fillRect/>
                          </a:stretch>
                        </pic:blipFill>
                        <pic:spPr>
                          <a:xfrm>
                            <a:off x="0" y="0"/>
                            <a:ext cx="2740660" cy="2056765"/>
                          </a:xfrm>
                          <a:prstGeom prst="rect">
                            <a:avLst/>
                          </a:prstGeom>
                        </pic:spPr>
                      </pic:pic>
                    </a:graphicData>
                  </a:graphic>
                </wp:inline>
              </w:drawing>
            </w:r>
          </w:p>
          <w:p w14:paraId="635C06A7">
            <w:pPr>
              <w:pStyle w:val="14"/>
              <w:kinsoku w:val="0"/>
              <w:overflowPunct w:val="0"/>
              <w:adjustRightInd/>
              <w:jc w:val="center"/>
              <w:rPr>
                <w:rFonts w:hint="default" w:eastAsia="仿宋"/>
                <w:b/>
                <w:bCs/>
                <w:color w:val="auto"/>
                <w:sz w:val="21"/>
                <w:szCs w:val="21"/>
                <w:lang w:val="en-US" w:eastAsia="zh-CN"/>
              </w:rPr>
            </w:pPr>
            <w:r>
              <w:rPr>
                <w:rFonts w:hint="default" w:eastAsia="仿宋"/>
                <w:b/>
                <w:bCs/>
                <w:color w:val="auto"/>
                <w:sz w:val="21"/>
                <w:szCs w:val="21"/>
                <w:lang w:val="en-US" w:eastAsia="zh-CN"/>
              </w:rPr>
              <w:drawing>
                <wp:inline distT="0" distB="0" distL="114300" distR="114300">
                  <wp:extent cx="2715260" cy="2037080"/>
                  <wp:effectExtent l="0" t="0" r="8890" b="1270"/>
                  <wp:docPr id="24" name="图片 24" descr="b8e4e0360b814840c4de0de6c55c65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b8e4e0360b814840c4de0de6c55c65e8"/>
                          <pic:cNvPicPr>
                            <a:picLocks noChangeAspect="1"/>
                          </pic:cNvPicPr>
                        </pic:nvPicPr>
                        <pic:blipFill>
                          <a:blip r:embed="rId15"/>
                          <a:stretch>
                            <a:fillRect/>
                          </a:stretch>
                        </pic:blipFill>
                        <pic:spPr>
                          <a:xfrm>
                            <a:off x="0" y="0"/>
                            <a:ext cx="2715260" cy="2037080"/>
                          </a:xfrm>
                          <a:prstGeom prst="rect">
                            <a:avLst/>
                          </a:prstGeom>
                        </pic:spPr>
                      </pic:pic>
                    </a:graphicData>
                  </a:graphic>
                </wp:inline>
              </w:drawing>
            </w:r>
            <w:r>
              <w:rPr>
                <w:rFonts w:hint="eastAsia" w:eastAsia="仿宋"/>
                <w:b/>
                <w:bCs/>
                <w:color w:val="auto"/>
                <w:sz w:val="21"/>
                <w:szCs w:val="21"/>
                <w:lang w:val="en-US" w:eastAsia="zh-CN"/>
              </w:rPr>
              <w:t xml:space="preserve"> </w:t>
            </w:r>
            <w:r>
              <w:rPr>
                <w:rFonts w:hint="default" w:eastAsia="仿宋"/>
                <w:b/>
                <w:bCs/>
                <w:color w:val="auto"/>
                <w:sz w:val="21"/>
                <w:szCs w:val="21"/>
                <w:lang w:val="en-US" w:eastAsia="zh-CN"/>
              </w:rPr>
              <w:drawing>
                <wp:inline distT="0" distB="0" distL="114300" distR="114300">
                  <wp:extent cx="2739390" cy="2055495"/>
                  <wp:effectExtent l="0" t="0" r="3810" b="1905"/>
                  <wp:docPr id="29" name="图片 29" descr="6dbf9bd85745ac064e816a1cdb841d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6dbf9bd85745ac064e816a1cdb841d39"/>
                          <pic:cNvPicPr>
                            <a:picLocks noChangeAspect="1"/>
                          </pic:cNvPicPr>
                        </pic:nvPicPr>
                        <pic:blipFill>
                          <a:blip r:embed="rId16"/>
                          <a:stretch>
                            <a:fillRect/>
                          </a:stretch>
                        </pic:blipFill>
                        <pic:spPr>
                          <a:xfrm>
                            <a:off x="0" y="0"/>
                            <a:ext cx="2739390" cy="2055495"/>
                          </a:xfrm>
                          <a:prstGeom prst="rect">
                            <a:avLst/>
                          </a:prstGeom>
                        </pic:spPr>
                      </pic:pic>
                    </a:graphicData>
                  </a:graphic>
                </wp:inline>
              </w:drawing>
            </w:r>
          </w:p>
          <w:p w14:paraId="25572258">
            <w:pPr>
              <w:pStyle w:val="14"/>
              <w:kinsoku w:val="0"/>
              <w:overflowPunct w:val="0"/>
              <w:adjustRightInd/>
              <w:spacing w:line="300" w:lineRule="auto"/>
              <w:jc w:val="center"/>
              <w:rPr>
                <w:rFonts w:hint="default" w:eastAsia="仿宋"/>
                <w:b/>
                <w:bCs/>
                <w:color w:val="auto"/>
                <w:lang w:val="en-US" w:eastAsia="zh-CN"/>
              </w:rPr>
            </w:pPr>
            <w:r>
              <w:rPr>
                <w:rFonts w:hint="eastAsia" w:eastAsia="仿宋"/>
                <w:b/>
                <w:bCs/>
                <w:color w:val="auto"/>
                <w:lang w:val="en-US" w:eastAsia="zh-CN"/>
              </w:rPr>
              <w:t>现场照片</w:t>
            </w:r>
          </w:p>
          <w:p w14:paraId="07D607E3">
            <w:pPr>
              <w:pStyle w:val="14"/>
              <w:kinsoku w:val="0"/>
              <w:overflowPunct w:val="0"/>
              <w:adjustRightInd/>
              <w:jc w:val="both"/>
              <w:rPr>
                <w:rFonts w:eastAsia="仿宋"/>
                <w:b/>
                <w:bCs/>
                <w:color w:val="auto"/>
                <w:sz w:val="21"/>
                <w:szCs w:val="21"/>
              </w:rPr>
            </w:pPr>
          </w:p>
          <w:p w14:paraId="32DEC540">
            <w:pPr>
              <w:pStyle w:val="14"/>
              <w:kinsoku w:val="0"/>
              <w:overflowPunct w:val="0"/>
              <w:adjustRightInd/>
              <w:jc w:val="both"/>
              <w:rPr>
                <w:rFonts w:eastAsia="仿宋"/>
                <w:b/>
                <w:bCs/>
                <w:color w:val="auto"/>
                <w:sz w:val="21"/>
                <w:szCs w:val="21"/>
              </w:rPr>
            </w:pPr>
          </w:p>
          <w:p w14:paraId="63FBFA07">
            <w:pPr>
              <w:pStyle w:val="14"/>
              <w:kinsoku w:val="0"/>
              <w:overflowPunct w:val="0"/>
              <w:adjustRightInd/>
              <w:jc w:val="both"/>
              <w:rPr>
                <w:rFonts w:eastAsia="仿宋"/>
                <w:b/>
                <w:bCs/>
                <w:color w:val="auto"/>
                <w:sz w:val="21"/>
                <w:szCs w:val="21"/>
              </w:rPr>
            </w:pPr>
          </w:p>
          <w:p w14:paraId="669EF8B2">
            <w:pPr>
              <w:pStyle w:val="14"/>
              <w:kinsoku w:val="0"/>
              <w:overflowPunct w:val="0"/>
              <w:adjustRightInd/>
              <w:jc w:val="both"/>
              <w:rPr>
                <w:rFonts w:eastAsia="仿宋"/>
                <w:b/>
                <w:bCs/>
                <w:color w:val="auto"/>
                <w:sz w:val="21"/>
                <w:szCs w:val="21"/>
              </w:rPr>
            </w:pPr>
          </w:p>
        </w:tc>
      </w:tr>
    </w:tbl>
    <w:p w14:paraId="079C117F">
      <w:pPr>
        <w:pStyle w:val="14"/>
        <w:kinsoku w:val="0"/>
        <w:overflowPunct w:val="0"/>
        <w:adjustRightInd/>
        <w:spacing w:line="500" w:lineRule="exact"/>
        <w:ind w:firstLine="480" w:firstLineChars="200"/>
        <w:jc w:val="both"/>
        <w:rPr>
          <w:rFonts w:eastAsia="仿宋"/>
          <w:color w:val="0000FF"/>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4B3FDBE">
      <w:pPr>
        <w:pStyle w:val="14"/>
        <w:kinsoku w:val="0"/>
        <w:overflowPunct w:val="0"/>
        <w:adjustRightInd/>
        <w:spacing w:line="500" w:lineRule="exact"/>
        <w:ind w:firstLine="480" w:firstLineChars="200"/>
        <w:jc w:val="both"/>
        <w:rPr>
          <w:rFonts w:eastAsia="仿宋"/>
          <w:color w:val="auto"/>
        </w:rPr>
      </w:pPr>
      <w:r>
        <w:rPr>
          <w:rFonts w:eastAsia="仿宋"/>
          <w:color w:val="auto"/>
        </w:rPr>
        <w:t>本项目主要工程内容见表4-1。</w:t>
      </w:r>
    </w:p>
    <w:p w14:paraId="31E9A050">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eastAsia="仿宋"/>
          <w:b/>
          <w:color w:val="auto"/>
          <w:kern w:val="2"/>
          <w:sz w:val="21"/>
          <w:szCs w:val="21"/>
        </w:rPr>
      </w:pPr>
      <w:r>
        <w:rPr>
          <w:rFonts w:eastAsia="仿宋"/>
          <w:b/>
          <w:color w:val="auto"/>
          <w:kern w:val="2"/>
          <w:sz w:val="21"/>
          <w:szCs w:val="21"/>
        </w:rPr>
        <w:t>表4-1 本项目主要工程内容表</w:t>
      </w:r>
    </w:p>
    <w:tbl>
      <w:tblPr>
        <w:tblStyle w:val="8"/>
        <w:tblW w:w="49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319"/>
        <w:gridCol w:w="891"/>
        <w:gridCol w:w="970"/>
        <w:gridCol w:w="1776"/>
        <w:gridCol w:w="2919"/>
        <w:gridCol w:w="1268"/>
        <w:gridCol w:w="1581"/>
        <w:gridCol w:w="1332"/>
        <w:gridCol w:w="1289"/>
      </w:tblGrid>
      <w:tr w14:paraId="20865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33" w:type="pct"/>
            <w:vAlign w:val="center"/>
          </w:tcPr>
          <w:p w14:paraId="4F3CEE04">
            <w:pPr>
              <w:pStyle w:val="14"/>
              <w:kinsoku w:val="0"/>
              <w:overflowPunct w:val="0"/>
              <w:snapToGrid w:val="0"/>
              <w:jc w:val="center"/>
              <w:rPr>
                <w:rFonts w:eastAsia="仿宋"/>
                <w:b/>
                <w:bCs/>
                <w:color w:val="auto"/>
                <w:sz w:val="21"/>
                <w:szCs w:val="21"/>
              </w:rPr>
            </w:pPr>
            <w:r>
              <w:rPr>
                <w:rFonts w:eastAsia="仿宋"/>
                <w:b/>
                <w:bCs/>
                <w:color w:val="auto"/>
                <w:sz w:val="21"/>
                <w:szCs w:val="21"/>
              </w:rPr>
              <w:t>序号</w:t>
            </w:r>
          </w:p>
        </w:tc>
        <w:tc>
          <w:tcPr>
            <w:tcW w:w="471" w:type="pct"/>
            <w:vAlign w:val="center"/>
          </w:tcPr>
          <w:p w14:paraId="0572213E">
            <w:pPr>
              <w:pStyle w:val="14"/>
              <w:kinsoku w:val="0"/>
              <w:overflowPunct w:val="0"/>
              <w:snapToGrid w:val="0"/>
              <w:jc w:val="center"/>
              <w:rPr>
                <w:rFonts w:eastAsia="仿宋"/>
                <w:b/>
                <w:bCs/>
                <w:color w:val="auto"/>
                <w:sz w:val="21"/>
                <w:szCs w:val="21"/>
              </w:rPr>
            </w:pPr>
            <w:r>
              <w:rPr>
                <w:rFonts w:hint="eastAsia" w:eastAsia="仿宋"/>
                <w:b/>
                <w:bCs/>
                <w:color w:val="auto"/>
                <w:sz w:val="21"/>
                <w:szCs w:val="21"/>
              </w:rPr>
              <w:t>管线名称</w:t>
            </w:r>
          </w:p>
        </w:tc>
        <w:tc>
          <w:tcPr>
            <w:tcW w:w="664" w:type="pct"/>
            <w:gridSpan w:val="2"/>
            <w:vAlign w:val="center"/>
          </w:tcPr>
          <w:p w14:paraId="61B208B6">
            <w:pPr>
              <w:pStyle w:val="14"/>
              <w:kinsoku w:val="0"/>
              <w:overflowPunct w:val="0"/>
              <w:snapToGrid w:val="0"/>
              <w:jc w:val="center"/>
              <w:rPr>
                <w:rFonts w:eastAsia="仿宋"/>
                <w:b/>
                <w:bCs/>
                <w:color w:val="auto"/>
                <w:sz w:val="21"/>
                <w:szCs w:val="21"/>
              </w:rPr>
            </w:pPr>
            <w:r>
              <w:rPr>
                <w:rFonts w:eastAsia="仿宋"/>
                <w:b/>
                <w:bCs/>
                <w:color w:val="auto"/>
                <w:sz w:val="21"/>
                <w:szCs w:val="21"/>
              </w:rPr>
              <w:t>输送物料名称</w:t>
            </w:r>
          </w:p>
        </w:tc>
        <w:tc>
          <w:tcPr>
            <w:tcW w:w="634" w:type="pct"/>
            <w:vAlign w:val="center"/>
          </w:tcPr>
          <w:p w14:paraId="4E7621C1">
            <w:pPr>
              <w:pStyle w:val="14"/>
              <w:kinsoku w:val="0"/>
              <w:overflowPunct w:val="0"/>
              <w:snapToGrid w:val="0"/>
              <w:jc w:val="center"/>
              <w:rPr>
                <w:rFonts w:eastAsia="仿宋"/>
                <w:b/>
                <w:bCs/>
                <w:color w:val="auto"/>
                <w:sz w:val="21"/>
                <w:szCs w:val="21"/>
              </w:rPr>
            </w:pPr>
            <w:r>
              <w:rPr>
                <w:rFonts w:eastAsia="仿宋"/>
                <w:b/>
                <w:bCs/>
                <w:color w:val="auto"/>
                <w:sz w:val="21"/>
                <w:szCs w:val="21"/>
              </w:rPr>
              <w:t>起点</w:t>
            </w:r>
          </w:p>
        </w:tc>
        <w:tc>
          <w:tcPr>
            <w:tcW w:w="1042" w:type="pct"/>
            <w:vAlign w:val="center"/>
          </w:tcPr>
          <w:p w14:paraId="773A89A4">
            <w:pPr>
              <w:pStyle w:val="14"/>
              <w:kinsoku w:val="0"/>
              <w:overflowPunct w:val="0"/>
              <w:snapToGrid w:val="0"/>
              <w:jc w:val="center"/>
              <w:rPr>
                <w:rFonts w:eastAsia="仿宋"/>
                <w:b/>
                <w:bCs/>
                <w:color w:val="auto"/>
                <w:sz w:val="21"/>
                <w:szCs w:val="21"/>
              </w:rPr>
            </w:pPr>
            <w:r>
              <w:rPr>
                <w:rFonts w:eastAsia="仿宋"/>
                <w:b/>
                <w:bCs/>
                <w:color w:val="auto"/>
                <w:sz w:val="21"/>
                <w:szCs w:val="21"/>
              </w:rPr>
              <w:t>终点</w:t>
            </w:r>
          </w:p>
        </w:tc>
        <w:tc>
          <w:tcPr>
            <w:tcW w:w="452" w:type="pct"/>
            <w:vAlign w:val="center"/>
          </w:tcPr>
          <w:p w14:paraId="12D0EB5A">
            <w:pPr>
              <w:pStyle w:val="14"/>
              <w:kinsoku w:val="0"/>
              <w:overflowPunct w:val="0"/>
              <w:snapToGrid w:val="0"/>
              <w:jc w:val="center"/>
              <w:rPr>
                <w:rFonts w:eastAsia="仿宋"/>
                <w:b/>
                <w:bCs/>
                <w:color w:val="auto"/>
                <w:sz w:val="21"/>
                <w:szCs w:val="21"/>
              </w:rPr>
            </w:pPr>
            <w:r>
              <w:rPr>
                <w:rFonts w:eastAsia="仿宋"/>
                <w:b/>
                <w:bCs/>
                <w:color w:val="auto"/>
                <w:sz w:val="21"/>
                <w:szCs w:val="21"/>
              </w:rPr>
              <w:t>管道长度</w:t>
            </w:r>
            <w:r>
              <w:rPr>
                <w:rFonts w:hint="eastAsia" w:eastAsia="仿宋"/>
                <w:b/>
                <w:bCs/>
                <w:color w:val="auto"/>
                <w:sz w:val="21"/>
                <w:szCs w:val="21"/>
              </w:rPr>
              <w:t>m</w:t>
            </w:r>
          </w:p>
        </w:tc>
        <w:tc>
          <w:tcPr>
            <w:tcW w:w="564" w:type="pct"/>
            <w:vAlign w:val="center"/>
          </w:tcPr>
          <w:p w14:paraId="0B60E189">
            <w:pPr>
              <w:pStyle w:val="14"/>
              <w:kinsoku w:val="0"/>
              <w:overflowPunct w:val="0"/>
              <w:snapToGrid w:val="0"/>
              <w:jc w:val="center"/>
              <w:rPr>
                <w:rFonts w:eastAsia="仿宋"/>
                <w:b/>
                <w:bCs/>
                <w:color w:val="auto"/>
                <w:sz w:val="21"/>
                <w:szCs w:val="21"/>
              </w:rPr>
            </w:pPr>
            <w:r>
              <w:rPr>
                <w:rFonts w:eastAsia="仿宋"/>
                <w:b/>
                <w:bCs/>
                <w:color w:val="auto"/>
                <w:sz w:val="21"/>
                <w:szCs w:val="21"/>
              </w:rPr>
              <w:t>管径</w:t>
            </w:r>
          </w:p>
        </w:tc>
        <w:tc>
          <w:tcPr>
            <w:tcW w:w="475" w:type="pct"/>
            <w:vAlign w:val="center"/>
          </w:tcPr>
          <w:p w14:paraId="725B9B36">
            <w:pPr>
              <w:pStyle w:val="14"/>
              <w:kinsoku w:val="0"/>
              <w:overflowPunct w:val="0"/>
              <w:snapToGrid w:val="0"/>
              <w:jc w:val="center"/>
              <w:rPr>
                <w:rFonts w:eastAsia="仿宋"/>
                <w:b/>
                <w:bCs/>
                <w:color w:val="auto"/>
                <w:sz w:val="21"/>
                <w:szCs w:val="21"/>
              </w:rPr>
            </w:pPr>
            <w:r>
              <w:rPr>
                <w:rFonts w:eastAsia="仿宋"/>
                <w:b/>
                <w:bCs/>
                <w:color w:val="auto"/>
                <w:sz w:val="21"/>
                <w:szCs w:val="21"/>
              </w:rPr>
              <w:t>输送量t/a</w:t>
            </w:r>
          </w:p>
        </w:tc>
        <w:tc>
          <w:tcPr>
            <w:tcW w:w="460" w:type="pct"/>
            <w:vAlign w:val="center"/>
          </w:tcPr>
          <w:p w14:paraId="5DDB0CA7">
            <w:pPr>
              <w:pStyle w:val="14"/>
              <w:kinsoku w:val="0"/>
              <w:overflowPunct w:val="0"/>
              <w:snapToGrid w:val="0"/>
              <w:jc w:val="center"/>
              <w:rPr>
                <w:rFonts w:eastAsia="仿宋"/>
                <w:b/>
                <w:bCs/>
                <w:color w:val="auto"/>
                <w:sz w:val="21"/>
                <w:szCs w:val="21"/>
              </w:rPr>
            </w:pPr>
            <w:r>
              <w:rPr>
                <w:rFonts w:eastAsia="仿宋"/>
                <w:b/>
                <w:bCs/>
                <w:color w:val="auto"/>
                <w:sz w:val="21"/>
                <w:szCs w:val="21"/>
              </w:rPr>
              <w:t>实际建设变化情况</w:t>
            </w:r>
          </w:p>
        </w:tc>
      </w:tr>
      <w:tr w14:paraId="5170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3" w:type="pct"/>
            <w:vAlign w:val="center"/>
          </w:tcPr>
          <w:p w14:paraId="6E0A1CC5">
            <w:pPr>
              <w:pStyle w:val="14"/>
              <w:kinsoku w:val="0"/>
              <w:overflowPunct w:val="0"/>
              <w:snapToGrid w:val="0"/>
              <w:jc w:val="center"/>
              <w:rPr>
                <w:rFonts w:eastAsia="仿宋"/>
                <w:color w:val="auto"/>
                <w:sz w:val="21"/>
                <w:szCs w:val="21"/>
              </w:rPr>
            </w:pPr>
            <w:r>
              <w:rPr>
                <w:rFonts w:eastAsia="仿宋"/>
                <w:color w:val="auto"/>
                <w:sz w:val="21"/>
                <w:szCs w:val="21"/>
              </w:rPr>
              <w:t>1</w:t>
            </w:r>
          </w:p>
        </w:tc>
        <w:tc>
          <w:tcPr>
            <w:tcW w:w="471" w:type="pct"/>
            <w:vAlign w:val="center"/>
          </w:tcPr>
          <w:p w14:paraId="7796B12A">
            <w:pPr>
              <w:pStyle w:val="14"/>
              <w:kinsoku w:val="0"/>
              <w:overflowPunct w:val="0"/>
              <w:snapToGrid w:val="0"/>
              <w:jc w:val="center"/>
              <w:rPr>
                <w:rFonts w:eastAsia="仿宋"/>
                <w:color w:val="auto"/>
                <w:sz w:val="21"/>
                <w:szCs w:val="21"/>
              </w:rPr>
            </w:pPr>
            <w:r>
              <w:rPr>
                <w:rFonts w:eastAsia="仿宋"/>
                <w:color w:val="auto"/>
                <w:sz w:val="21"/>
                <w:szCs w:val="21"/>
              </w:rPr>
              <w:t>管线1</w:t>
            </w:r>
          </w:p>
        </w:tc>
        <w:tc>
          <w:tcPr>
            <w:tcW w:w="318" w:type="pct"/>
            <w:vAlign w:val="center"/>
          </w:tcPr>
          <w:p w14:paraId="7A148C4A">
            <w:pPr>
              <w:pStyle w:val="14"/>
              <w:kinsoku w:val="0"/>
              <w:overflowPunct w:val="0"/>
              <w:snapToGrid w:val="0"/>
              <w:jc w:val="center"/>
              <w:rPr>
                <w:rFonts w:eastAsia="仿宋"/>
                <w:color w:val="auto"/>
                <w:sz w:val="21"/>
                <w:szCs w:val="21"/>
              </w:rPr>
            </w:pPr>
            <w:r>
              <w:rPr>
                <w:rFonts w:eastAsia="仿宋"/>
                <w:color w:val="auto"/>
                <w:sz w:val="21"/>
                <w:szCs w:val="21"/>
              </w:rPr>
              <w:t>乙二醇</w:t>
            </w:r>
          </w:p>
        </w:tc>
        <w:tc>
          <w:tcPr>
            <w:tcW w:w="346" w:type="pct"/>
            <w:vAlign w:val="center"/>
          </w:tcPr>
          <w:p w14:paraId="39D5A052">
            <w:pPr>
              <w:pStyle w:val="14"/>
              <w:kinsoku w:val="0"/>
              <w:overflowPunct w:val="0"/>
              <w:snapToGrid w:val="0"/>
              <w:jc w:val="center"/>
              <w:rPr>
                <w:rFonts w:eastAsia="仿宋"/>
                <w:color w:val="auto"/>
                <w:sz w:val="21"/>
                <w:szCs w:val="21"/>
              </w:rPr>
            </w:pPr>
            <w:r>
              <w:rPr>
                <w:rFonts w:hint="eastAsia" w:eastAsia="仿宋"/>
                <w:color w:val="auto"/>
                <w:sz w:val="21"/>
                <w:szCs w:val="21"/>
              </w:rPr>
              <w:t>厂界外</w:t>
            </w:r>
          </w:p>
        </w:tc>
        <w:tc>
          <w:tcPr>
            <w:tcW w:w="634" w:type="pct"/>
            <w:vAlign w:val="center"/>
          </w:tcPr>
          <w:p w14:paraId="3BE51DC2">
            <w:pPr>
              <w:pStyle w:val="14"/>
              <w:kinsoku w:val="0"/>
              <w:overflowPunct w:val="0"/>
              <w:snapToGrid w:val="0"/>
              <w:jc w:val="center"/>
              <w:rPr>
                <w:rFonts w:eastAsia="仿宋"/>
                <w:color w:val="auto"/>
                <w:sz w:val="21"/>
                <w:szCs w:val="21"/>
              </w:rPr>
            </w:pPr>
            <w:r>
              <w:rPr>
                <w:rFonts w:eastAsia="仿宋"/>
                <w:color w:val="auto"/>
                <w:sz w:val="21"/>
                <w:szCs w:val="21"/>
              </w:rPr>
              <w:t>炼化厂外罐区乙二醇储罐</w:t>
            </w:r>
          </w:p>
        </w:tc>
        <w:tc>
          <w:tcPr>
            <w:tcW w:w="1042" w:type="pct"/>
            <w:vAlign w:val="center"/>
          </w:tcPr>
          <w:p w14:paraId="5E05EDEC">
            <w:pPr>
              <w:pStyle w:val="14"/>
              <w:kinsoku w:val="0"/>
              <w:overflowPunct w:val="0"/>
              <w:snapToGrid w:val="0"/>
              <w:jc w:val="center"/>
              <w:rPr>
                <w:rFonts w:eastAsia="仿宋"/>
                <w:color w:val="auto"/>
                <w:sz w:val="21"/>
                <w:szCs w:val="21"/>
              </w:rPr>
            </w:pPr>
            <w:r>
              <w:rPr>
                <w:rFonts w:eastAsia="仿宋"/>
                <w:color w:val="auto"/>
                <w:sz w:val="21"/>
                <w:szCs w:val="21"/>
              </w:rPr>
              <w:t>虹港石化东围墙外1m</w:t>
            </w:r>
          </w:p>
        </w:tc>
        <w:tc>
          <w:tcPr>
            <w:tcW w:w="452" w:type="pct"/>
            <w:vAlign w:val="center"/>
          </w:tcPr>
          <w:p w14:paraId="4751633E">
            <w:pPr>
              <w:pStyle w:val="14"/>
              <w:kinsoku w:val="0"/>
              <w:overflowPunct w:val="0"/>
              <w:snapToGrid w:val="0"/>
              <w:jc w:val="center"/>
              <w:rPr>
                <w:rFonts w:eastAsia="仿宋"/>
                <w:color w:val="auto"/>
                <w:sz w:val="21"/>
                <w:szCs w:val="21"/>
              </w:rPr>
            </w:pPr>
            <w:r>
              <w:rPr>
                <w:rFonts w:hint="eastAsia" w:eastAsia="仿宋"/>
                <w:color w:val="auto"/>
                <w:sz w:val="21"/>
                <w:szCs w:val="21"/>
              </w:rPr>
              <w:t>2410</w:t>
            </w:r>
          </w:p>
        </w:tc>
        <w:tc>
          <w:tcPr>
            <w:tcW w:w="564" w:type="pct"/>
            <w:vAlign w:val="center"/>
          </w:tcPr>
          <w:p w14:paraId="69617822">
            <w:pPr>
              <w:pStyle w:val="14"/>
              <w:kinsoku w:val="0"/>
              <w:overflowPunct w:val="0"/>
              <w:snapToGrid w:val="0"/>
              <w:jc w:val="center"/>
              <w:rPr>
                <w:rFonts w:eastAsia="仿宋"/>
                <w:color w:val="auto"/>
                <w:sz w:val="21"/>
                <w:szCs w:val="21"/>
              </w:rPr>
            </w:pPr>
            <w:r>
              <w:rPr>
                <w:rFonts w:eastAsia="仿宋"/>
                <w:color w:val="auto"/>
                <w:sz w:val="21"/>
                <w:szCs w:val="21"/>
              </w:rPr>
              <w:t>DN1</w:t>
            </w:r>
            <w:r>
              <w:rPr>
                <w:rFonts w:hint="eastAsia" w:eastAsia="仿宋"/>
                <w:color w:val="auto"/>
                <w:sz w:val="21"/>
                <w:szCs w:val="21"/>
              </w:rPr>
              <w:t>0</w:t>
            </w:r>
            <w:r>
              <w:rPr>
                <w:rFonts w:eastAsia="仿宋"/>
                <w:color w:val="auto"/>
                <w:sz w:val="21"/>
                <w:szCs w:val="21"/>
              </w:rPr>
              <w:t>0</w:t>
            </w:r>
          </w:p>
        </w:tc>
        <w:tc>
          <w:tcPr>
            <w:tcW w:w="475" w:type="pct"/>
            <w:vAlign w:val="center"/>
          </w:tcPr>
          <w:p w14:paraId="6D2C87AE">
            <w:pPr>
              <w:pStyle w:val="14"/>
              <w:kinsoku w:val="0"/>
              <w:overflowPunct w:val="0"/>
              <w:snapToGrid w:val="0"/>
              <w:jc w:val="center"/>
              <w:rPr>
                <w:rFonts w:eastAsia="仿宋"/>
                <w:color w:val="auto"/>
                <w:sz w:val="21"/>
                <w:szCs w:val="21"/>
              </w:rPr>
            </w:pPr>
            <w:r>
              <w:rPr>
                <w:rFonts w:eastAsia="仿宋"/>
                <w:color w:val="auto"/>
                <w:sz w:val="21"/>
                <w:szCs w:val="21"/>
              </w:rPr>
              <w:t>26.64 万</w:t>
            </w:r>
          </w:p>
        </w:tc>
        <w:tc>
          <w:tcPr>
            <w:tcW w:w="460" w:type="pct"/>
            <w:vMerge w:val="restart"/>
            <w:vAlign w:val="center"/>
          </w:tcPr>
          <w:p w14:paraId="6E1013CD">
            <w:pPr>
              <w:pStyle w:val="14"/>
              <w:kinsoku w:val="0"/>
              <w:overflowPunct w:val="0"/>
              <w:snapToGrid w:val="0"/>
              <w:jc w:val="center"/>
              <w:rPr>
                <w:rFonts w:eastAsia="仿宋"/>
                <w:color w:val="auto"/>
                <w:sz w:val="21"/>
                <w:szCs w:val="21"/>
              </w:rPr>
            </w:pPr>
            <w:r>
              <w:rPr>
                <w:rFonts w:eastAsia="仿宋"/>
                <w:color w:val="auto"/>
                <w:sz w:val="21"/>
                <w:szCs w:val="21"/>
              </w:rPr>
              <w:t>与环评一致</w:t>
            </w:r>
          </w:p>
        </w:tc>
      </w:tr>
      <w:tr w14:paraId="43379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33" w:type="pct"/>
            <w:vMerge w:val="restart"/>
            <w:vAlign w:val="center"/>
          </w:tcPr>
          <w:p w14:paraId="47902DB1">
            <w:pPr>
              <w:pStyle w:val="14"/>
              <w:kinsoku w:val="0"/>
              <w:overflowPunct w:val="0"/>
              <w:snapToGrid w:val="0"/>
              <w:jc w:val="center"/>
              <w:rPr>
                <w:rFonts w:hint="eastAsia" w:eastAsia="仿宋"/>
                <w:color w:val="auto"/>
                <w:sz w:val="21"/>
                <w:szCs w:val="21"/>
                <w:lang w:eastAsia="zh-CN"/>
              </w:rPr>
            </w:pPr>
            <w:r>
              <w:rPr>
                <w:rFonts w:hint="eastAsia" w:eastAsia="仿宋"/>
                <w:color w:val="auto"/>
                <w:sz w:val="21"/>
                <w:szCs w:val="21"/>
                <w:lang w:val="en-US" w:eastAsia="zh-CN"/>
              </w:rPr>
              <w:t>2</w:t>
            </w:r>
          </w:p>
        </w:tc>
        <w:tc>
          <w:tcPr>
            <w:tcW w:w="471" w:type="pct"/>
            <w:vMerge w:val="restart"/>
            <w:vAlign w:val="center"/>
          </w:tcPr>
          <w:p w14:paraId="40AEF628">
            <w:pPr>
              <w:pStyle w:val="14"/>
              <w:kinsoku w:val="0"/>
              <w:overflowPunct w:val="0"/>
              <w:snapToGrid w:val="0"/>
              <w:jc w:val="center"/>
              <w:rPr>
                <w:rFonts w:hint="eastAsia" w:eastAsia="仿宋"/>
                <w:color w:val="auto"/>
                <w:sz w:val="21"/>
                <w:szCs w:val="21"/>
                <w:lang w:eastAsia="zh-CN"/>
              </w:rPr>
            </w:pPr>
            <w:r>
              <w:rPr>
                <w:rFonts w:hint="eastAsia" w:eastAsia="仿宋"/>
                <w:color w:val="auto"/>
                <w:sz w:val="21"/>
                <w:szCs w:val="21"/>
              </w:rPr>
              <w:t>管线</w:t>
            </w:r>
            <w:r>
              <w:rPr>
                <w:rFonts w:hint="eastAsia" w:eastAsia="仿宋"/>
                <w:color w:val="auto"/>
                <w:sz w:val="21"/>
                <w:szCs w:val="21"/>
                <w:lang w:val="en-US" w:eastAsia="zh-CN"/>
              </w:rPr>
              <w:t>2</w:t>
            </w:r>
          </w:p>
        </w:tc>
        <w:tc>
          <w:tcPr>
            <w:tcW w:w="318" w:type="pct"/>
            <w:vMerge w:val="restart"/>
            <w:vAlign w:val="center"/>
          </w:tcPr>
          <w:p w14:paraId="78D0D750">
            <w:pPr>
              <w:pStyle w:val="14"/>
              <w:kinsoku w:val="0"/>
              <w:overflowPunct w:val="0"/>
              <w:snapToGrid w:val="0"/>
              <w:jc w:val="center"/>
              <w:rPr>
                <w:rFonts w:eastAsia="仿宋"/>
                <w:color w:val="auto"/>
                <w:sz w:val="21"/>
                <w:szCs w:val="21"/>
              </w:rPr>
            </w:pPr>
            <w:r>
              <w:rPr>
                <w:rFonts w:eastAsia="仿宋"/>
                <w:color w:val="auto"/>
                <w:sz w:val="21"/>
                <w:szCs w:val="21"/>
              </w:rPr>
              <w:t>丙酮</w:t>
            </w:r>
          </w:p>
        </w:tc>
        <w:tc>
          <w:tcPr>
            <w:tcW w:w="346" w:type="pct"/>
            <w:vAlign w:val="center"/>
          </w:tcPr>
          <w:p w14:paraId="0EBEF558">
            <w:pPr>
              <w:pStyle w:val="14"/>
              <w:kinsoku w:val="0"/>
              <w:overflowPunct w:val="0"/>
              <w:snapToGrid w:val="0"/>
              <w:jc w:val="center"/>
              <w:rPr>
                <w:rFonts w:eastAsia="仿宋"/>
                <w:color w:val="auto"/>
                <w:sz w:val="21"/>
                <w:szCs w:val="21"/>
              </w:rPr>
            </w:pPr>
            <w:r>
              <w:rPr>
                <w:rFonts w:hint="eastAsia" w:eastAsia="仿宋"/>
                <w:color w:val="auto"/>
                <w:sz w:val="21"/>
                <w:szCs w:val="21"/>
              </w:rPr>
              <w:t>厂界外</w:t>
            </w:r>
          </w:p>
        </w:tc>
        <w:tc>
          <w:tcPr>
            <w:tcW w:w="634" w:type="pct"/>
            <w:vAlign w:val="center"/>
          </w:tcPr>
          <w:p w14:paraId="7CBD17BF">
            <w:pPr>
              <w:pStyle w:val="14"/>
              <w:kinsoku w:val="0"/>
              <w:overflowPunct w:val="0"/>
              <w:snapToGrid w:val="0"/>
              <w:jc w:val="center"/>
              <w:rPr>
                <w:rFonts w:eastAsia="仿宋"/>
                <w:color w:val="auto"/>
                <w:sz w:val="21"/>
                <w:szCs w:val="21"/>
              </w:rPr>
            </w:pPr>
            <w:r>
              <w:rPr>
                <w:rFonts w:eastAsia="仿宋"/>
                <w:color w:val="auto"/>
                <w:sz w:val="21"/>
                <w:szCs w:val="21"/>
              </w:rPr>
              <w:t>荣泰仓储南围墙外1m</w:t>
            </w:r>
          </w:p>
        </w:tc>
        <w:tc>
          <w:tcPr>
            <w:tcW w:w="1042" w:type="pct"/>
            <w:vAlign w:val="center"/>
          </w:tcPr>
          <w:p w14:paraId="3660224A">
            <w:pPr>
              <w:pStyle w:val="14"/>
              <w:kinsoku w:val="0"/>
              <w:overflowPunct w:val="0"/>
              <w:snapToGrid w:val="0"/>
              <w:jc w:val="center"/>
              <w:rPr>
                <w:rFonts w:eastAsia="仿宋"/>
                <w:color w:val="auto"/>
                <w:sz w:val="21"/>
                <w:szCs w:val="21"/>
              </w:rPr>
            </w:pPr>
            <w:r>
              <w:rPr>
                <w:rFonts w:eastAsia="仿宋"/>
                <w:color w:val="auto"/>
                <w:sz w:val="21"/>
                <w:szCs w:val="21"/>
              </w:rPr>
              <w:t>斯尔邦石化北围墙外1m</w:t>
            </w:r>
          </w:p>
        </w:tc>
        <w:tc>
          <w:tcPr>
            <w:tcW w:w="452" w:type="pct"/>
            <w:vAlign w:val="center"/>
          </w:tcPr>
          <w:p w14:paraId="66FC7A55">
            <w:pPr>
              <w:pStyle w:val="14"/>
              <w:kinsoku w:val="0"/>
              <w:overflowPunct w:val="0"/>
              <w:snapToGrid w:val="0"/>
              <w:jc w:val="center"/>
              <w:rPr>
                <w:rFonts w:eastAsia="仿宋"/>
                <w:color w:val="auto"/>
                <w:sz w:val="21"/>
                <w:szCs w:val="21"/>
              </w:rPr>
            </w:pPr>
            <w:r>
              <w:rPr>
                <w:rFonts w:hint="eastAsia" w:eastAsia="仿宋"/>
                <w:color w:val="auto"/>
                <w:sz w:val="21"/>
                <w:szCs w:val="21"/>
              </w:rPr>
              <w:t>470</w:t>
            </w:r>
          </w:p>
        </w:tc>
        <w:tc>
          <w:tcPr>
            <w:tcW w:w="564" w:type="pct"/>
            <w:vAlign w:val="center"/>
          </w:tcPr>
          <w:p w14:paraId="79113226">
            <w:pPr>
              <w:pStyle w:val="14"/>
              <w:kinsoku w:val="0"/>
              <w:overflowPunct w:val="0"/>
              <w:snapToGrid w:val="0"/>
              <w:jc w:val="center"/>
              <w:rPr>
                <w:rFonts w:eastAsia="仿宋"/>
                <w:color w:val="auto"/>
                <w:sz w:val="21"/>
                <w:szCs w:val="21"/>
              </w:rPr>
            </w:pPr>
            <w:r>
              <w:rPr>
                <w:rFonts w:eastAsia="仿宋"/>
                <w:color w:val="auto"/>
                <w:sz w:val="21"/>
                <w:szCs w:val="21"/>
              </w:rPr>
              <w:t>DN</w:t>
            </w:r>
            <w:r>
              <w:rPr>
                <w:rFonts w:hint="eastAsia" w:eastAsia="仿宋"/>
                <w:color w:val="auto"/>
                <w:sz w:val="21"/>
                <w:szCs w:val="21"/>
              </w:rPr>
              <w:t>80</w:t>
            </w:r>
          </w:p>
        </w:tc>
        <w:tc>
          <w:tcPr>
            <w:tcW w:w="475" w:type="pct"/>
            <w:vMerge w:val="restart"/>
            <w:vAlign w:val="center"/>
          </w:tcPr>
          <w:p w14:paraId="26FFDBFF">
            <w:pPr>
              <w:pStyle w:val="14"/>
              <w:kinsoku w:val="0"/>
              <w:overflowPunct w:val="0"/>
              <w:snapToGrid w:val="0"/>
              <w:jc w:val="center"/>
              <w:rPr>
                <w:rFonts w:eastAsia="仿宋"/>
                <w:color w:val="auto"/>
                <w:sz w:val="21"/>
                <w:szCs w:val="21"/>
              </w:rPr>
            </w:pPr>
            <w:r>
              <w:rPr>
                <w:rFonts w:eastAsia="仿宋"/>
                <w:color w:val="auto"/>
                <w:sz w:val="21"/>
                <w:szCs w:val="21"/>
              </w:rPr>
              <w:t>6.22 万</w:t>
            </w:r>
          </w:p>
        </w:tc>
        <w:tc>
          <w:tcPr>
            <w:tcW w:w="460" w:type="pct"/>
            <w:vMerge w:val="continue"/>
            <w:vAlign w:val="center"/>
          </w:tcPr>
          <w:p w14:paraId="7E0F81C0">
            <w:pPr>
              <w:pStyle w:val="14"/>
              <w:kinsoku w:val="0"/>
              <w:overflowPunct w:val="0"/>
              <w:snapToGrid w:val="0"/>
              <w:jc w:val="center"/>
              <w:rPr>
                <w:rFonts w:eastAsia="仿宋"/>
                <w:color w:val="auto"/>
                <w:sz w:val="21"/>
                <w:szCs w:val="21"/>
              </w:rPr>
            </w:pPr>
          </w:p>
        </w:tc>
      </w:tr>
      <w:tr w14:paraId="27A5F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33" w:type="pct"/>
            <w:vAlign w:val="center"/>
          </w:tcPr>
          <w:p w14:paraId="5F5800B5">
            <w:pPr>
              <w:pStyle w:val="14"/>
              <w:kinsoku w:val="0"/>
              <w:overflowPunct w:val="0"/>
              <w:snapToGrid w:val="0"/>
              <w:jc w:val="center"/>
              <w:rPr>
                <w:rFonts w:hint="eastAsia" w:eastAsia="仿宋"/>
                <w:color w:val="auto"/>
                <w:sz w:val="21"/>
                <w:szCs w:val="21"/>
                <w:lang w:eastAsia="zh-CN"/>
              </w:rPr>
            </w:pPr>
            <w:r>
              <w:rPr>
                <w:rFonts w:hint="eastAsia" w:eastAsia="仿宋"/>
                <w:color w:val="auto"/>
                <w:sz w:val="21"/>
                <w:szCs w:val="21"/>
                <w:lang w:val="en-US" w:eastAsia="zh-CN"/>
              </w:rPr>
              <w:t>3</w:t>
            </w:r>
          </w:p>
        </w:tc>
        <w:tc>
          <w:tcPr>
            <w:tcW w:w="471" w:type="pct"/>
            <w:vAlign w:val="center"/>
          </w:tcPr>
          <w:p w14:paraId="67D5B77C">
            <w:pPr>
              <w:pStyle w:val="14"/>
              <w:kinsoku w:val="0"/>
              <w:overflowPunct w:val="0"/>
              <w:snapToGrid w:val="0"/>
              <w:jc w:val="center"/>
              <w:rPr>
                <w:rFonts w:hint="eastAsia" w:eastAsia="仿宋"/>
                <w:color w:val="auto"/>
                <w:sz w:val="21"/>
                <w:szCs w:val="21"/>
                <w:lang w:val="en-US" w:eastAsia="zh-CN"/>
              </w:rPr>
            </w:pPr>
            <w:r>
              <w:rPr>
                <w:rFonts w:hint="eastAsia" w:eastAsia="仿宋"/>
                <w:color w:val="auto"/>
                <w:sz w:val="21"/>
                <w:szCs w:val="21"/>
              </w:rPr>
              <w:t>管线</w:t>
            </w:r>
            <w:r>
              <w:rPr>
                <w:rFonts w:hint="eastAsia" w:eastAsia="仿宋"/>
                <w:color w:val="auto"/>
                <w:sz w:val="21"/>
                <w:szCs w:val="21"/>
                <w:lang w:val="en-US" w:eastAsia="zh-CN"/>
              </w:rPr>
              <w:t>3</w:t>
            </w:r>
          </w:p>
        </w:tc>
        <w:tc>
          <w:tcPr>
            <w:tcW w:w="318" w:type="pct"/>
            <w:vAlign w:val="center"/>
          </w:tcPr>
          <w:p w14:paraId="5C7EF903">
            <w:pPr>
              <w:pStyle w:val="14"/>
              <w:kinsoku w:val="0"/>
              <w:overflowPunct w:val="0"/>
              <w:snapToGrid w:val="0"/>
              <w:jc w:val="center"/>
              <w:rPr>
                <w:rFonts w:eastAsia="仿宋"/>
                <w:color w:val="auto"/>
                <w:sz w:val="21"/>
                <w:szCs w:val="21"/>
              </w:rPr>
            </w:pPr>
            <w:r>
              <w:rPr>
                <w:rFonts w:eastAsia="仿宋"/>
                <w:color w:val="auto"/>
                <w:sz w:val="21"/>
                <w:szCs w:val="21"/>
              </w:rPr>
              <w:t>丁烷</w:t>
            </w:r>
          </w:p>
        </w:tc>
        <w:tc>
          <w:tcPr>
            <w:tcW w:w="346" w:type="pct"/>
            <w:vAlign w:val="center"/>
          </w:tcPr>
          <w:p w14:paraId="74717FA3">
            <w:pPr>
              <w:pStyle w:val="14"/>
              <w:kinsoku w:val="0"/>
              <w:overflowPunct w:val="0"/>
              <w:snapToGrid w:val="0"/>
              <w:jc w:val="center"/>
              <w:rPr>
                <w:rFonts w:eastAsia="仿宋"/>
                <w:color w:val="auto"/>
                <w:sz w:val="21"/>
                <w:szCs w:val="21"/>
              </w:rPr>
            </w:pPr>
            <w:r>
              <w:rPr>
                <w:rFonts w:hint="eastAsia" w:eastAsia="仿宋"/>
                <w:color w:val="auto"/>
                <w:sz w:val="21"/>
                <w:szCs w:val="21"/>
              </w:rPr>
              <w:t>厂界外</w:t>
            </w:r>
          </w:p>
        </w:tc>
        <w:tc>
          <w:tcPr>
            <w:tcW w:w="634" w:type="pct"/>
            <w:vAlign w:val="center"/>
          </w:tcPr>
          <w:p w14:paraId="00F4ADDD">
            <w:pPr>
              <w:pStyle w:val="14"/>
              <w:kinsoku w:val="0"/>
              <w:overflowPunct w:val="0"/>
              <w:snapToGrid w:val="0"/>
              <w:jc w:val="center"/>
              <w:rPr>
                <w:rFonts w:eastAsia="仿宋"/>
                <w:color w:val="auto"/>
                <w:sz w:val="21"/>
                <w:szCs w:val="21"/>
              </w:rPr>
            </w:pPr>
            <w:r>
              <w:rPr>
                <w:rFonts w:eastAsia="仿宋"/>
                <w:color w:val="auto"/>
                <w:sz w:val="21"/>
                <w:szCs w:val="21"/>
              </w:rPr>
              <w:t>荣泰仓储北围墙外 1m</w:t>
            </w:r>
          </w:p>
        </w:tc>
        <w:tc>
          <w:tcPr>
            <w:tcW w:w="1042" w:type="pct"/>
            <w:vAlign w:val="center"/>
          </w:tcPr>
          <w:p w14:paraId="08F5FA8A">
            <w:pPr>
              <w:pStyle w:val="14"/>
              <w:kinsoku w:val="0"/>
              <w:overflowPunct w:val="0"/>
              <w:snapToGrid w:val="0"/>
              <w:jc w:val="center"/>
              <w:rPr>
                <w:rFonts w:eastAsia="仿宋"/>
                <w:color w:val="auto"/>
                <w:sz w:val="21"/>
                <w:szCs w:val="21"/>
              </w:rPr>
            </w:pPr>
            <w:r>
              <w:rPr>
                <w:rFonts w:eastAsia="仿宋"/>
                <w:color w:val="auto"/>
                <w:sz w:val="21"/>
                <w:szCs w:val="21"/>
              </w:rPr>
              <w:t>盛虹炼化东围墙外1m虹港石化东围墙外1m（预留）</w:t>
            </w:r>
          </w:p>
        </w:tc>
        <w:tc>
          <w:tcPr>
            <w:tcW w:w="452" w:type="pct"/>
            <w:vAlign w:val="center"/>
          </w:tcPr>
          <w:p w14:paraId="0F7E043A">
            <w:pPr>
              <w:pStyle w:val="14"/>
              <w:kinsoku w:val="0"/>
              <w:overflowPunct w:val="0"/>
              <w:snapToGrid w:val="0"/>
              <w:jc w:val="center"/>
              <w:rPr>
                <w:rFonts w:eastAsia="仿宋"/>
                <w:color w:val="auto"/>
                <w:sz w:val="21"/>
                <w:szCs w:val="21"/>
              </w:rPr>
            </w:pPr>
            <w:r>
              <w:rPr>
                <w:rFonts w:hint="eastAsia" w:eastAsia="仿宋"/>
                <w:color w:val="auto"/>
                <w:sz w:val="21"/>
                <w:szCs w:val="21"/>
              </w:rPr>
              <w:t>5500</w:t>
            </w:r>
          </w:p>
        </w:tc>
        <w:tc>
          <w:tcPr>
            <w:tcW w:w="564" w:type="pct"/>
            <w:vAlign w:val="center"/>
          </w:tcPr>
          <w:p w14:paraId="14EFE16D">
            <w:pPr>
              <w:pStyle w:val="14"/>
              <w:kinsoku w:val="0"/>
              <w:overflowPunct w:val="0"/>
              <w:snapToGrid w:val="0"/>
              <w:jc w:val="center"/>
              <w:rPr>
                <w:rFonts w:eastAsia="仿宋"/>
                <w:color w:val="auto"/>
                <w:sz w:val="21"/>
                <w:szCs w:val="21"/>
              </w:rPr>
            </w:pPr>
            <w:r>
              <w:rPr>
                <w:rFonts w:eastAsia="仿宋"/>
                <w:color w:val="auto"/>
                <w:sz w:val="21"/>
                <w:szCs w:val="21"/>
              </w:rPr>
              <w:t>DN150</w:t>
            </w:r>
          </w:p>
        </w:tc>
        <w:tc>
          <w:tcPr>
            <w:tcW w:w="475" w:type="pct"/>
            <w:vAlign w:val="center"/>
          </w:tcPr>
          <w:p w14:paraId="01BBE592">
            <w:pPr>
              <w:pStyle w:val="14"/>
              <w:kinsoku w:val="0"/>
              <w:overflowPunct w:val="0"/>
              <w:snapToGrid w:val="0"/>
              <w:jc w:val="center"/>
              <w:rPr>
                <w:rFonts w:eastAsia="仿宋"/>
                <w:color w:val="auto"/>
                <w:sz w:val="21"/>
                <w:szCs w:val="21"/>
              </w:rPr>
            </w:pPr>
            <w:r>
              <w:rPr>
                <w:rFonts w:hint="eastAsia" w:eastAsia="仿宋"/>
                <w:color w:val="auto"/>
                <w:sz w:val="21"/>
                <w:szCs w:val="21"/>
              </w:rPr>
              <w:t>42.4万</w:t>
            </w:r>
          </w:p>
        </w:tc>
        <w:tc>
          <w:tcPr>
            <w:tcW w:w="460" w:type="pct"/>
            <w:vMerge w:val="continue"/>
            <w:vAlign w:val="center"/>
          </w:tcPr>
          <w:p w14:paraId="6FAA41A2">
            <w:pPr>
              <w:pStyle w:val="14"/>
              <w:kinsoku w:val="0"/>
              <w:overflowPunct w:val="0"/>
              <w:snapToGrid w:val="0"/>
              <w:jc w:val="center"/>
              <w:rPr>
                <w:rFonts w:eastAsia="仿宋"/>
                <w:color w:val="auto"/>
                <w:sz w:val="21"/>
                <w:szCs w:val="21"/>
              </w:rPr>
            </w:pPr>
          </w:p>
        </w:tc>
      </w:tr>
    </w:tbl>
    <w:p w14:paraId="25B8234B">
      <w:pPr>
        <w:pStyle w:val="14"/>
        <w:kinsoku w:val="0"/>
        <w:overflowPunct w:val="0"/>
        <w:adjustRightInd/>
        <w:spacing w:line="500" w:lineRule="exact"/>
        <w:ind w:firstLine="480" w:firstLineChars="200"/>
        <w:jc w:val="both"/>
        <w:rPr>
          <w:rFonts w:eastAsia="仿宋"/>
          <w:color w:val="auto"/>
        </w:rPr>
      </w:pPr>
      <w:r>
        <w:rPr>
          <w:rFonts w:eastAsia="仿宋"/>
          <w:color w:val="auto"/>
        </w:rPr>
        <w:t>本项目</w:t>
      </w:r>
      <w:r>
        <w:rPr>
          <w:rFonts w:hint="eastAsia" w:eastAsia="仿宋"/>
          <w:color w:val="auto"/>
        </w:rPr>
        <w:t>上下游相关项目环保手续及建设情况</w:t>
      </w:r>
      <w:r>
        <w:rPr>
          <w:rFonts w:eastAsia="仿宋"/>
          <w:color w:val="auto"/>
        </w:rPr>
        <w:t>见表4-</w:t>
      </w:r>
      <w:r>
        <w:rPr>
          <w:rFonts w:hint="eastAsia" w:eastAsia="仿宋"/>
          <w:color w:val="auto"/>
          <w:lang w:val="en-US" w:eastAsia="zh-CN"/>
        </w:rPr>
        <w:t>2</w:t>
      </w:r>
      <w:r>
        <w:rPr>
          <w:rFonts w:eastAsia="仿宋"/>
          <w:color w:val="auto"/>
        </w:rPr>
        <w:t>。</w:t>
      </w:r>
    </w:p>
    <w:p w14:paraId="112499DC">
      <w:pPr>
        <w:keepNext w:val="0"/>
        <w:keepLines w:val="0"/>
        <w:pageBreakBefore w:val="0"/>
        <w:widowControl/>
        <w:suppressLineNumbers w:val="0"/>
        <w:kinsoku/>
        <w:wordWrap/>
        <w:overflowPunct/>
        <w:topLinePunct w:val="0"/>
        <w:autoSpaceDE w:val="0"/>
        <w:autoSpaceDN w:val="0"/>
        <w:bidi w:val="0"/>
        <w:adjustRightInd w:val="0"/>
        <w:snapToGrid/>
        <w:spacing w:line="500" w:lineRule="exact"/>
        <w:jc w:val="center"/>
        <w:textAlignment w:val="auto"/>
        <w:rPr>
          <w:color w:val="auto"/>
        </w:rPr>
      </w:pPr>
      <w:r>
        <w:rPr>
          <w:rFonts w:eastAsia="仿宋"/>
          <w:b/>
          <w:color w:val="auto"/>
          <w:kern w:val="2"/>
          <w:sz w:val="21"/>
          <w:szCs w:val="21"/>
          <w:lang w:val="en-US" w:eastAsia="zh-CN"/>
        </w:rPr>
        <w:t>表</w:t>
      </w:r>
      <w:r>
        <w:rPr>
          <w:rFonts w:hint="eastAsia" w:eastAsia="仿宋"/>
          <w:b/>
          <w:color w:val="auto"/>
          <w:kern w:val="2"/>
          <w:sz w:val="21"/>
          <w:szCs w:val="21"/>
          <w:lang w:val="en-US" w:eastAsia="zh-CN"/>
        </w:rPr>
        <w:t>4-2</w:t>
      </w:r>
      <w:r>
        <w:rPr>
          <w:rFonts w:eastAsia="仿宋"/>
          <w:b/>
          <w:color w:val="auto"/>
          <w:kern w:val="2"/>
          <w:sz w:val="21"/>
          <w:szCs w:val="21"/>
          <w:lang w:val="en-US" w:eastAsia="zh-CN"/>
        </w:rPr>
        <w:t xml:space="preserve"> 本项目上下游相关项目环保手续及建设情况一览表</w:t>
      </w:r>
    </w:p>
    <w:tbl>
      <w:tblPr>
        <w:tblStyle w:val="7"/>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589"/>
        <w:gridCol w:w="825"/>
        <w:gridCol w:w="1873"/>
        <w:gridCol w:w="1782"/>
        <w:gridCol w:w="1131"/>
        <w:gridCol w:w="933"/>
        <w:gridCol w:w="967"/>
        <w:gridCol w:w="2047"/>
        <w:gridCol w:w="911"/>
        <w:gridCol w:w="3116"/>
      </w:tblGrid>
      <w:tr w14:paraId="2F27B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185" w:hRule="atLeast"/>
          <w:jc w:val="center"/>
        </w:trPr>
        <w:tc>
          <w:tcPr>
            <w:tcW w:w="589" w:type="dxa"/>
            <w:vMerge w:val="restart"/>
            <w:tcBorders>
              <w:top w:val="single" w:color="000000" w:sz="6" w:space="0"/>
              <w:left w:val="single" w:color="000000" w:sz="6" w:space="0"/>
              <w:right w:val="single" w:color="000000" w:sz="6" w:space="0"/>
            </w:tcBorders>
            <w:shd w:val="clear" w:color="auto" w:fill="auto"/>
            <w:vAlign w:val="center"/>
          </w:tcPr>
          <w:p w14:paraId="7F445E19">
            <w:pPr>
              <w:pStyle w:val="14"/>
              <w:kinsoku w:val="0"/>
              <w:overflowPunct w:val="0"/>
              <w:snapToGrid w:val="0"/>
              <w:jc w:val="center"/>
              <w:rPr>
                <w:rFonts w:eastAsia="仿宋"/>
                <w:color w:val="auto"/>
                <w:sz w:val="21"/>
                <w:szCs w:val="21"/>
                <w:lang w:val="en-US" w:eastAsia="zh-CN"/>
              </w:rPr>
            </w:pPr>
            <w:r>
              <w:rPr>
                <w:rFonts w:hint="eastAsia" w:eastAsia="仿宋"/>
                <w:color w:val="auto"/>
                <w:sz w:val="21"/>
                <w:szCs w:val="21"/>
                <w:lang w:val="en-US" w:eastAsia="zh-CN"/>
              </w:rPr>
              <w:t>序号</w:t>
            </w:r>
          </w:p>
        </w:tc>
        <w:tc>
          <w:tcPr>
            <w:tcW w:w="5611" w:type="dxa"/>
            <w:gridSpan w:val="4"/>
            <w:tcBorders>
              <w:top w:val="single" w:color="000000" w:sz="6" w:space="0"/>
              <w:left w:val="single" w:color="000000" w:sz="6" w:space="0"/>
              <w:bottom w:val="single" w:color="000000" w:sz="6" w:space="0"/>
              <w:right w:val="single" w:color="000000" w:sz="6" w:space="0"/>
            </w:tcBorders>
            <w:shd w:val="clear" w:color="auto" w:fill="auto"/>
            <w:vAlign w:val="center"/>
          </w:tcPr>
          <w:p w14:paraId="7B393260">
            <w:pPr>
              <w:pStyle w:val="14"/>
              <w:kinsoku w:val="0"/>
              <w:overflowPunct w:val="0"/>
              <w:snapToGrid w:val="0"/>
              <w:jc w:val="center"/>
              <w:rPr>
                <w:rFonts w:hint="eastAsia" w:eastAsia="仿宋"/>
                <w:color w:val="auto"/>
                <w:sz w:val="21"/>
                <w:szCs w:val="21"/>
                <w:lang w:val="en-US" w:eastAsia="zh-CN"/>
              </w:rPr>
            </w:pPr>
            <w:r>
              <w:rPr>
                <w:rFonts w:hint="eastAsia" w:eastAsia="仿宋"/>
                <w:color w:val="auto"/>
                <w:sz w:val="21"/>
                <w:szCs w:val="21"/>
                <w:lang w:val="en-US" w:eastAsia="zh-CN"/>
              </w:rPr>
              <w:t>上游</w:t>
            </w:r>
          </w:p>
        </w:tc>
        <w:tc>
          <w:tcPr>
            <w:tcW w:w="7974" w:type="dxa"/>
            <w:gridSpan w:val="5"/>
            <w:tcBorders>
              <w:top w:val="single" w:color="000000" w:sz="6" w:space="0"/>
              <w:left w:val="single" w:color="000000" w:sz="6" w:space="0"/>
              <w:bottom w:val="single" w:color="000000" w:sz="6" w:space="0"/>
              <w:right w:val="single" w:color="000000" w:sz="6" w:space="0"/>
            </w:tcBorders>
            <w:shd w:val="clear" w:color="auto" w:fill="auto"/>
            <w:vAlign w:val="center"/>
          </w:tcPr>
          <w:p w14:paraId="14079C68">
            <w:pPr>
              <w:pStyle w:val="14"/>
              <w:kinsoku w:val="0"/>
              <w:overflowPunct w:val="0"/>
              <w:snapToGrid w:val="0"/>
              <w:jc w:val="center"/>
              <w:rPr>
                <w:rFonts w:hint="eastAsia" w:eastAsia="仿宋"/>
                <w:color w:val="auto"/>
                <w:sz w:val="21"/>
                <w:szCs w:val="21"/>
                <w:lang w:val="en-US" w:eastAsia="zh-CN"/>
              </w:rPr>
            </w:pPr>
            <w:r>
              <w:rPr>
                <w:rFonts w:hint="eastAsia" w:eastAsia="仿宋"/>
                <w:color w:val="auto"/>
                <w:sz w:val="21"/>
                <w:szCs w:val="21"/>
                <w:lang w:val="en-US" w:eastAsia="zh-CN"/>
              </w:rPr>
              <w:t>下游</w:t>
            </w:r>
          </w:p>
        </w:tc>
      </w:tr>
      <w:tr w14:paraId="1B5A80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jc w:val="center"/>
        </w:trPr>
        <w:tc>
          <w:tcPr>
            <w:tcW w:w="589" w:type="dxa"/>
            <w:vMerge w:val="continue"/>
            <w:tcBorders>
              <w:left w:val="single" w:color="000000" w:sz="6" w:space="0"/>
              <w:bottom w:val="single" w:color="000000" w:sz="6" w:space="0"/>
              <w:right w:val="single" w:color="000000" w:sz="6" w:space="0"/>
            </w:tcBorders>
            <w:shd w:val="clear" w:color="auto" w:fill="auto"/>
            <w:vAlign w:val="center"/>
          </w:tcPr>
          <w:p w14:paraId="38E33F40">
            <w:pPr>
              <w:pStyle w:val="14"/>
              <w:kinsoku w:val="0"/>
              <w:overflowPunct w:val="0"/>
              <w:snapToGrid w:val="0"/>
              <w:jc w:val="center"/>
              <w:rPr>
                <w:rFonts w:eastAsia="仿宋"/>
                <w:color w:val="auto"/>
                <w:sz w:val="21"/>
                <w:szCs w:val="21"/>
                <w:lang w:val="en-US" w:eastAsia="zh-CN"/>
              </w:rPr>
            </w:pPr>
          </w:p>
        </w:tc>
        <w:tc>
          <w:tcPr>
            <w:tcW w:w="825"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239B3D4">
            <w:pPr>
              <w:pStyle w:val="14"/>
              <w:kinsoku w:val="0"/>
              <w:overflowPunct w:val="0"/>
              <w:snapToGrid w:val="0"/>
              <w:jc w:val="center"/>
              <w:rPr>
                <w:rFonts w:hint="eastAsia" w:eastAsia="仿宋"/>
                <w:color w:val="auto"/>
                <w:sz w:val="21"/>
                <w:szCs w:val="21"/>
                <w:lang w:val="en-US" w:eastAsia="zh-CN"/>
              </w:rPr>
            </w:pPr>
            <w:r>
              <w:rPr>
                <w:rFonts w:eastAsia="仿宋"/>
                <w:color w:val="auto"/>
                <w:sz w:val="21"/>
                <w:szCs w:val="21"/>
                <w:lang w:val="en-US" w:eastAsia="zh-CN"/>
              </w:rPr>
              <w:t>输送介质</w:t>
            </w:r>
          </w:p>
        </w:tc>
        <w:tc>
          <w:tcPr>
            <w:tcW w:w="187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D6D23FF">
            <w:pPr>
              <w:pStyle w:val="14"/>
              <w:kinsoku w:val="0"/>
              <w:overflowPunct w:val="0"/>
              <w:snapToGrid w:val="0"/>
              <w:jc w:val="center"/>
              <w:rPr>
                <w:rFonts w:eastAsia="仿宋"/>
                <w:color w:val="auto"/>
                <w:sz w:val="21"/>
                <w:szCs w:val="21"/>
                <w:lang w:val="en-US" w:eastAsia="zh-CN"/>
              </w:rPr>
            </w:pPr>
            <w:r>
              <w:rPr>
                <w:rFonts w:eastAsia="仿宋"/>
                <w:color w:val="auto"/>
                <w:sz w:val="21"/>
                <w:szCs w:val="21"/>
                <w:lang w:val="en-US" w:eastAsia="zh-CN"/>
              </w:rPr>
              <w:t xml:space="preserve">上游项目环评 </w:t>
            </w:r>
          </w:p>
        </w:tc>
        <w:tc>
          <w:tcPr>
            <w:tcW w:w="17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167BAE6">
            <w:pPr>
              <w:pStyle w:val="14"/>
              <w:kinsoku w:val="0"/>
              <w:overflowPunct w:val="0"/>
              <w:snapToGrid w:val="0"/>
              <w:jc w:val="center"/>
              <w:rPr>
                <w:rFonts w:eastAsia="仿宋"/>
                <w:color w:val="auto"/>
                <w:sz w:val="21"/>
                <w:szCs w:val="21"/>
                <w:lang w:val="en-US" w:eastAsia="zh-CN"/>
              </w:rPr>
            </w:pPr>
            <w:r>
              <w:rPr>
                <w:rFonts w:eastAsia="仿宋"/>
                <w:color w:val="auto"/>
                <w:sz w:val="21"/>
                <w:szCs w:val="21"/>
                <w:lang w:val="en-US" w:eastAsia="zh-CN"/>
              </w:rPr>
              <w:t>上游建设内容</w:t>
            </w:r>
          </w:p>
        </w:tc>
        <w:tc>
          <w:tcPr>
            <w:tcW w:w="113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B5CC6EA">
            <w:pPr>
              <w:pStyle w:val="14"/>
              <w:kinsoku w:val="0"/>
              <w:overflowPunct w:val="0"/>
              <w:snapToGrid w:val="0"/>
              <w:jc w:val="center"/>
              <w:rPr>
                <w:rFonts w:eastAsia="仿宋"/>
                <w:color w:val="auto"/>
                <w:sz w:val="21"/>
                <w:szCs w:val="21"/>
                <w:lang w:val="en-US" w:eastAsia="zh-CN"/>
              </w:rPr>
            </w:pPr>
            <w:r>
              <w:rPr>
                <w:rFonts w:eastAsia="仿宋"/>
                <w:color w:val="auto"/>
                <w:sz w:val="21"/>
                <w:szCs w:val="21"/>
                <w:lang w:val="en-US" w:eastAsia="zh-CN"/>
              </w:rPr>
              <w:t>建设情况</w:t>
            </w:r>
          </w:p>
        </w:tc>
        <w:tc>
          <w:tcPr>
            <w:tcW w:w="93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251C144">
            <w:pPr>
              <w:pStyle w:val="14"/>
              <w:kinsoku w:val="0"/>
              <w:overflowPunct w:val="0"/>
              <w:snapToGrid w:val="0"/>
              <w:jc w:val="center"/>
              <w:rPr>
                <w:rFonts w:eastAsia="仿宋"/>
                <w:color w:val="auto"/>
                <w:sz w:val="21"/>
                <w:szCs w:val="21"/>
                <w:lang w:val="en-US" w:eastAsia="zh-CN"/>
              </w:rPr>
            </w:pPr>
            <w:r>
              <w:rPr>
                <w:rFonts w:eastAsia="仿宋"/>
                <w:color w:val="auto"/>
                <w:sz w:val="21"/>
                <w:szCs w:val="21"/>
                <w:lang w:val="en-US" w:eastAsia="zh-CN"/>
              </w:rPr>
              <w:t>需求公司</w:t>
            </w:r>
          </w:p>
        </w:tc>
        <w:tc>
          <w:tcPr>
            <w:tcW w:w="96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6709F0C">
            <w:pPr>
              <w:pStyle w:val="14"/>
              <w:kinsoku w:val="0"/>
              <w:overflowPunct w:val="0"/>
              <w:snapToGrid w:val="0"/>
              <w:jc w:val="center"/>
              <w:rPr>
                <w:rFonts w:eastAsia="仿宋"/>
                <w:color w:val="auto"/>
                <w:sz w:val="21"/>
                <w:szCs w:val="21"/>
                <w:lang w:val="en-US" w:eastAsia="zh-CN"/>
              </w:rPr>
            </w:pPr>
            <w:r>
              <w:rPr>
                <w:rFonts w:eastAsia="仿宋"/>
                <w:color w:val="auto"/>
                <w:sz w:val="21"/>
                <w:szCs w:val="21"/>
                <w:lang w:val="en-US" w:eastAsia="zh-CN"/>
              </w:rPr>
              <w:t>需求装置</w:t>
            </w:r>
          </w:p>
        </w:tc>
        <w:tc>
          <w:tcPr>
            <w:tcW w:w="204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9F3693F">
            <w:pPr>
              <w:pStyle w:val="14"/>
              <w:kinsoku w:val="0"/>
              <w:overflowPunct w:val="0"/>
              <w:snapToGrid w:val="0"/>
              <w:jc w:val="center"/>
              <w:rPr>
                <w:rFonts w:eastAsia="仿宋"/>
                <w:color w:val="auto"/>
                <w:sz w:val="21"/>
                <w:szCs w:val="21"/>
                <w:lang w:val="en-US" w:eastAsia="zh-CN"/>
              </w:rPr>
            </w:pPr>
            <w:r>
              <w:rPr>
                <w:rFonts w:eastAsia="仿宋"/>
                <w:color w:val="auto"/>
                <w:sz w:val="21"/>
                <w:szCs w:val="21"/>
                <w:lang w:val="en-US" w:eastAsia="zh-CN"/>
              </w:rPr>
              <w:t xml:space="preserve">对应项目环评 </w:t>
            </w:r>
          </w:p>
        </w:tc>
        <w:tc>
          <w:tcPr>
            <w:tcW w:w="91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2A828B0">
            <w:pPr>
              <w:pStyle w:val="14"/>
              <w:kinsoku w:val="0"/>
              <w:overflowPunct w:val="0"/>
              <w:snapToGrid w:val="0"/>
              <w:jc w:val="center"/>
              <w:rPr>
                <w:rFonts w:eastAsia="仿宋"/>
                <w:color w:val="auto"/>
                <w:sz w:val="21"/>
                <w:szCs w:val="21"/>
                <w:lang w:val="en-US" w:eastAsia="zh-CN"/>
              </w:rPr>
            </w:pPr>
            <w:r>
              <w:rPr>
                <w:rFonts w:eastAsia="仿宋"/>
                <w:color w:val="auto"/>
                <w:sz w:val="21"/>
                <w:szCs w:val="21"/>
                <w:lang w:val="en-US" w:eastAsia="zh-CN"/>
              </w:rPr>
              <w:t>建设情况</w:t>
            </w:r>
          </w:p>
        </w:tc>
        <w:tc>
          <w:tcPr>
            <w:tcW w:w="311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5184950">
            <w:pPr>
              <w:pStyle w:val="14"/>
              <w:kinsoku w:val="0"/>
              <w:overflowPunct w:val="0"/>
              <w:snapToGrid w:val="0"/>
              <w:jc w:val="center"/>
              <w:rPr>
                <w:rFonts w:eastAsia="仿宋"/>
                <w:color w:val="auto"/>
                <w:sz w:val="21"/>
                <w:szCs w:val="21"/>
                <w:lang w:val="en-US" w:eastAsia="zh-CN"/>
              </w:rPr>
            </w:pPr>
            <w:r>
              <w:rPr>
                <w:rFonts w:eastAsia="仿宋"/>
                <w:color w:val="auto"/>
                <w:sz w:val="21"/>
                <w:szCs w:val="21"/>
                <w:lang w:val="en-US" w:eastAsia="zh-CN"/>
              </w:rPr>
              <w:t>建设内容</w:t>
            </w:r>
          </w:p>
        </w:tc>
      </w:tr>
      <w:tr w14:paraId="41319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E9174FC">
            <w:pPr>
              <w:pStyle w:val="14"/>
              <w:kinsoku w:val="0"/>
              <w:overflowPunct w:val="0"/>
              <w:snapToGrid w:val="0"/>
              <w:jc w:val="center"/>
              <w:rPr>
                <w:rFonts w:eastAsia="仿宋"/>
                <w:color w:val="auto"/>
                <w:sz w:val="21"/>
                <w:szCs w:val="21"/>
                <w:lang w:val="en-US" w:eastAsia="zh-CN"/>
              </w:rPr>
            </w:pPr>
            <w:r>
              <w:rPr>
                <w:rFonts w:eastAsia="仿宋"/>
                <w:color w:val="auto"/>
                <w:sz w:val="21"/>
                <w:szCs w:val="21"/>
                <w:lang w:val="en-US" w:eastAsia="zh-CN"/>
              </w:rPr>
              <w:t xml:space="preserve">1 </w:t>
            </w:r>
          </w:p>
        </w:tc>
        <w:tc>
          <w:tcPr>
            <w:tcW w:w="825"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0B2943A">
            <w:pPr>
              <w:pStyle w:val="14"/>
              <w:kinsoku w:val="0"/>
              <w:overflowPunct w:val="0"/>
              <w:snapToGrid w:val="0"/>
              <w:jc w:val="center"/>
              <w:rPr>
                <w:rFonts w:hint="eastAsia" w:eastAsia="仿宋"/>
                <w:color w:val="auto"/>
                <w:sz w:val="21"/>
                <w:szCs w:val="21"/>
                <w:lang w:val="en-US" w:eastAsia="zh-CN"/>
              </w:rPr>
            </w:pPr>
            <w:r>
              <w:rPr>
                <w:rFonts w:hint="eastAsia" w:eastAsia="仿宋"/>
                <w:color w:val="auto"/>
                <w:sz w:val="21"/>
                <w:szCs w:val="21"/>
                <w:lang w:val="en-US" w:eastAsia="zh-CN"/>
              </w:rPr>
              <w:t>乙二醇</w:t>
            </w:r>
          </w:p>
        </w:tc>
        <w:tc>
          <w:tcPr>
            <w:tcW w:w="187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815C564">
            <w:pPr>
              <w:pStyle w:val="14"/>
              <w:kinsoku w:val="0"/>
              <w:overflowPunct w:val="0"/>
              <w:snapToGrid w:val="0"/>
              <w:jc w:val="center"/>
              <w:rPr>
                <w:rFonts w:eastAsia="仿宋"/>
                <w:color w:val="auto"/>
                <w:sz w:val="21"/>
                <w:szCs w:val="21"/>
                <w:lang w:val="en-US" w:eastAsia="zh-CN"/>
              </w:rPr>
            </w:pPr>
            <w:r>
              <w:rPr>
                <w:rFonts w:eastAsia="仿宋"/>
                <w:color w:val="auto"/>
                <w:sz w:val="21"/>
                <w:szCs w:val="21"/>
                <w:lang w:val="en-US" w:eastAsia="zh-CN"/>
              </w:rPr>
              <w:t>关于盛虹炼化一体化产品优化项目（2#乙二醇+</w:t>
            </w:r>
            <w:r>
              <w:rPr>
                <w:rFonts w:hint="eastAsia" w:eastAsia="仿宋"/>
                <w:color w:val="auto"/>
                <w:sz w:val="21"/>
                <w:szCs w:val="21"/>
                <w:lang w:val="en-US" w:eastAsia="zh-CN"/>
              </w:rPr>
              <w:t>苯酚丙酮）环境影响报告书的批复（示范区环审（2021）26号）</w:t>
            </w:r>
          </w:p>
        </w:tc>
        <w:tc>
          <w:tcPr>
            <w:tcW w:w="17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622E516">
            <w:pPr>
              <w:pStyle w:val="14"/>
              <w:kinsoku w:val="0"/>
              <w:overflowPunct w:val="0"/>
              <w:snapToGrid w:val="0"/>
              <w:jc w:val="center"/>
              <w:rPr>
                <w:rFonts w:eastAsia="仿宋"/>
                <w:color w:val="auto"/>
                <w:sz w:val="21"/>
                <w:szCs w:val="21"/>
                <w:lang w:val="en-US" w:eastAsia="zh-CN"/>
              </w:rPr>
            </w:pPr>
            <w:r>
              <w:rPr>
                <w:rFonts w:eastAsia="仿宋"/>
                <w:color w:val="auto"/>
                <w:sz w:val="21"/>
                <w:szCs w:val="21"/>
                <w:lang w:val="en-US" w:eastAsia="zh-CN"/>
              </w:rPr>
              <w:t>项目建设一套10/90万吨/年环氧乙烷/乙二醇装</w:t>
            </w:r>
            <w:r>
              <w:rPr>
                <w:rFonts w:hint="eastAsia" w:eastAsia="仿宋"/>
                <w:color w:val="auto"/>
                <w:sz w:val="21"/>
                <w:szCs w:val="21"/>
                <w:lang w:val="en-US" w:eastAsia="zh-CN"/>
              </w:rPr>
              <w:t>置、1套40/25万吨/苯酚丙酮装置，同步建设储罐等配套工程。</w:t>
            </w:r>
          </w:p>
        </w:tc>
        <w:tc>
          <w:tcPr>
            <w:tcW w:w="113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6561811">
            <w:pPr>
              <w:pStyle w:val="14"/>
              <w:kinsoku w:val="0"/>
              <w:overflowPunct w:val="0"/>
              <w:snapToGrid w:val="0"/>
              <w:jc w:val="center"/>
              <w:rPr>
                <w:rFonts w:eastAsia="仿宋"/>
                <w:color w:val="auto"/>
                <w:sz w:val="21"/>
                <w:szCs w:val="21"/>
                <w:lang w:val="en-US" w:eastAsia="zh-CN"/>
              </w:rPr>
            </w:pPr>
            <w:r>
              <w:rPr>
                <w:rFonts w:eastAsia="仿宋"/>
                <w:color w:val="auto"/>
                <w:sz w:val="21"/>
                <w:szCs w:val="21"/>
                <w:lang w:val="en-US" w:eastAsia="zh-CN"/>
              </w:rPr>
              <w:t>已验收</w:t>
            </w:r>
          </w:p>
        </w:tc>
        <w:tc>
          <w:tcPr>
            <w:tcW w:w="93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7143255">
            <w:pPr>
              <w:pStyle w:val="14"/>
              <w:kinsoku w:val="0"/>
              <w:overflowPunct w:val="0"/>
              <w:snapToGrid w:val="0"/>
              <w:jc w:val="center"/>
              <w:rPr>
                <w:rFonts w:eastAsia="仿宋"/>
                <w:color w:val="auto"/>
                <w:sz w:val="21"/>
                <w:szCs w:val="21"/>
                <w:lang w:val="en-US" w:eastAsia="zh-CN"/>
              </w:rPr>
            </w:pPr>
            <w:r>
              <w:rPr>
                <w:rFonts w:eastAsia="仿宋"/>
                <w:color w:val="auto"/>
                <w:sz w:val="21"/>
                <w:szCs w:val="21"/>
                <w:lang w:val="en-US" w:eastAsia="zh-CN"/>
              </w:rPr>
              <w:t>虹港石化</w:t>
            </w:r>
          </w:p>
        </w:tc>
        <w:tc>
          <w:tcPr>
            <w:tcW w:w="96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2BCA038">
            <w:pPr>
              <w:pStyle w:val="14"/>
              <w:kinsoku w:val="0"/>
              <w:overflowPunct w:val="0"/>
              <w:snapToGrid w:val="0"/>
              <w:jc w:val="center"/>
              <w:rPr>
                <w:rFonts w:eastAsia="仿宋"/>
                <w:color w:val="auto"/>
                <w:sz w:val="21"/>
                <w:szCs w:val="21"/>
                <w:lang w:val="en-US" w:eastAsia="zh-CN"/>
              </w:rPr>
            </w:pPr>
            <w:r>
              <w:rPr>
                <w:rFonts w:eastAsia="仿宋"/>
                <w:color w:val="auto"/>
                <w:sz w:val="21"/>
                <w:szCs w:val="21"/>
                <w:lang w:val="en-US" w:eastAsia="zh-CN"/>
              </w:rPr>
              <w:t>聚酯新材料项目</w:t>
            </w:r>
          </w:p>
        </w:tc>
        <w:tc>
          <w:tcPr>
            <w:tcW w:w="204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676F1E6">
            <w:pPr>
              <w:pStyle w:val="14"/>
              <w:kinsoku w:val="0"/>
              <w:overflowPunct w:val="0"/>
              <w:snapToGrid w:val="0"/>
              <w:jc w:val="center"/>
              <w:rPr>
                <w:rFonts w:eastAsia="仿宋"/>
                <w:color w:val="auto"/>
                <w:sz w:val="21"/>
                <w:szCs w:val="21"/>
                <w:lang w:val="en-US" w:eastAsia="zh-CN"/>
              </w:rPr>
            </w:pPr>
            <w:r>
              <w:rPr>
                <w:rFonts w:eastAsia="仿宋"/>
                <w:color w:val="auto"/>
                <w:sz w:val="21"/>
                <w:szCs w:val="21"/>
                <w:lang w:val="en-US" w:eastAsia="zh-CN"/>
              </w:rPr>
              <w:t>关于江苏虹港石化有限公司聚酯新材料项目环境影响报告书的批</w:t>
            </w:r>
            <w:r>
              <w:rPr>
                <w:rFonts w:hint="eastAsia" w:eastAsia="仿宋"/>
                <w:color w:val="auto"/>
                <w:sz w:val="21"/>
                <w:szCs w:val="21"/>
                <w:lang w:val="en-US" w:eastAsia="zh-CN"/>
              </w:rPr>
              <w:t>复（示范区环审（2023）17号）</w:t>
            </w:r>
            <w:r>
              <w:rPr>
                <w:rFonts w:eastAsia="仿宋"/>
                <w:color w:val="auto"/>
                <w:sz w:val="21"/>
                <w:szCs w:val="21"/>
                <w:lang w:val="en-US" w:eastAsia="zh-CN"/>
              </w:rPr>
              <w:t xml:space="preserve"> </w:t>
            </w:r>
          </w:p>
        </w:tc>
        <w:tc>
          <w:tcPr>
            <w:tcW w:w="91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DE0B7C1">
            <w:pPr>
              <w:pStyle w:val="14"/>
              <w:kinsoku w:val="0"/>
              <w:overflowPunct w:val="0"/>
              <w:snapToGrid w:val="0"/>
              <w:jc w:val="center"/>
              <w:rPr>
                <w:rFonts w:eastAsia="仿宋"/>
                <w:color w:val="auto"/>
                <w:sz w:val="21"/>
                <w:szCs w:val="21"/>
                <w:lang w:val="en-US" w:eastAsia="zh-CN"/>
              </w:rPr>
            </w:pPr>
            <w:r>
              <w:rPr>
                <w:rFonts w:eastAsia="仿宋"/>
                <w:color w:val="auto"/>
                <w:sz w:val="21"/>
                <w:szCs w:val="21"/>
                <w:lang w:val="en-US" w:eastAsia="zh-CN"/>
              </w:rPr>
              <w:t>试生产中</w:t>
            </w:r>
          </w:p>
        </w:tc>
        <w:tc>
          <w:tcPr>
            <w:tcW w:w="311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A20936A">
            <w:pPr>
              <w:pStyle w:val="14"/>
              <w:kinsoku w:val="0"/>
              <w:overflowPunct w:val="0"/>
              <w:snapToGrid w:val="0"/>
              <w:jc w:val="center"/>
              <w:rPr>
                <w:rFonts w:eastAsia="仿宋"/>
                <w:color w:val="auto"/>
                <w:sz w:val="21"/>
                <w:szCs w:val="21"/>
                <w:lang w:val="en-US" w:eastAsia="zh-CN"/>
              </w:rPr>
            </w:pPr>
            <w:r>
              <w:rPr>
                <w:rFonts w:eastAsia="仿宋"/>
                <w:color w:val="auto"/>
                <w:sz w:val="21"/>
                <w:szCs w:val="21"/>
                <w:lang w:val="en-US" w:eastAsia="zh-CN"/>
              </w:rPr>
              <w:t>新二甲醇（建年产CHDM5万吨）和年产1，4-环己烷13</w:t>
            </w:r>
            <w:r>
              <w:rPr>
                <w:rFonts w:hint="eastAsia" w:eastAsia="仿宋"/>
                <w:color w:val="auto"/>
                <w:sz w:val="21"/>
                <w:szCs w:val="21"/>
                <w:lang w:val="en-US" w:eastAsia="zh-CN"/>
              </w:rPr>
              <w:t>万吨PETG切片生产装置，同步实施配套工程。项目建成后可实现年产13万吨PETG、5万吨CHDM（2.7万吨自用，2.3万吨出售）</w:t>
            </w:r>
          </w:p>
        </w:tc>
      </w:tr>
      <w:tr w14:paraId="1D211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C4BF339">
            <w:pPr>
              <w:pStyle w:val="14"/>
              <w:kinsoku w:val="0"/>
              <w:overflowPunct w:val="0"/>
              <w:snapToGrid w:val="0"/>
              <w:jc w:val="center"/>
              <w:rPr>
                <w:rFonts w:hint="default" w:eastAsia="仿宋"/>
                <w:color w:val="auto"/>
                <w:sz w:val="21"/>
                <w:szCs w:val="21"/>
                <w:lang w:val="en-US" w:eastAsia="zh-CN"/>
              </w:rPr>
            </w:pPr>
            <w:r>
              <w:rPr>
                <w:rFonts w:hint="eastAsia" w:eastAsia="仿宋"/>
                <w:color w:val="auto"/>
                <w:sz w:val="21"/>
                <w:szCs w:val="21"/>
                <w:lang w:val="en-US" w:eastAsia="zh-CN"/>
              </w:rPr>
              <w:t>2</w:t>
            </w:r>
          </w:p>
        </w:tc>
        <w:tc>
          <w:tcPr>
            <w:tcW w:w="825"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DAE8B3A">
            <w:pPr>
              <w:pStyle w:val="14"/>
              <w:kinsoku w:val="0"/>
              <w:overflowPunct w:val="0"/>
              <w:snapToGrid w:val="0"/>
              <w:jc w:val="center"/>
              <w:rPr>
                <w:rFonts w:hint="eastAsia" w:eastAsia="仿宋"/>
                <w:color w:val="auto"/>
                <w:sz w:val="21"/>
                <w:szCs w:val="21"/>
                <w:lang w:val="en-US" w:eastAsia="zh-CN"/>
              </w:rPr>
            </w:pPr>
            <w:r>
              <w:rPr>
                <w:rFonts w:hint="eastAsia" w:eastAsia="仿宋"/>
                <w:color w:val="auto"/>
                <w:sz w:val="21"/>
                <w:szCs w:val="21"/>
                <w:lang w:val="en-US" w:eastAsia="zh-CN"/>
              </w:rPr>
              <w:t>丙酮</w:t>
            </w:r>
          </w:p>
        </w:tc>
        <w:tc>
          <w:tcPr>
            <w:tcW w:w="187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582287F">
            <w:pPr>
              <w:pStyle w:val="14"/>
              <w:kinsoku w:val="0"/>
              <w:overflowPunct w:val="0"/>
              <w:snapToGrid w:val="0"/>
              <w:jc w:val="center"/>
              <w:rPr>
                <w:rFonts w:hint="eastAsia" w:eastAsia="仿宋"/>
                <w:color w:val="auto"/>
                <w:sz w:val="21"/>
                <w:szCs w:val="21"/>
                <w:lang w:val="en-US" w:eastAsia="zh-CN"/>
              </w:rPr>
            </w:pPr>
            <w:r>
              <w:rPr>
                <w:rFonts w:hint="eastAsia" w:eastAsia="仿宋"/>
                <w:color w:val="auto"/>
                <w:sz w:val="21"/>
                <w:szCs w:val="21"/>
                <w:lang w:val="en-US" w:eastAsia="zh-CN"/>
              </w:rPr>
              <w:t>关于盛虹炼化（连云港）港口储运有限公司盛虹炼化一体化配套港储优化项目环境影响报告表的批复（示范区环审（2022）6号</w:t>
            </w:r>
          </w:p>
        </w:tc>
        <w:tc>
          <w:tcPr>
            <w:tcW w:w="17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597C678">
            <w:pPr>
              <w:pStyle w:val="14"/>
              <w:kinsoku w:val="0"/>
              <w:overflowPunct w:val="0"/>
              <w:snapToGrid w:val="0"/>
              <w:jc w:val="center"/>
              <w:rPr>
                <w:rFonts w:eastAsia="仿宋"/>
                <w:color w:val="auto"/>
                <w:sz w:val="21"/>
                <w:szCs w:val="21"/>
                <w:lang w:val="en-US" w:eastAsia="zh-CN"/>
              </w:rPr>
            </w:pPr>
            <w:r>
              <w:rPr>
                <w:rFonts w:hint="eastAsia" w:eastAsia="仿宋"/>
                <w:color w:val="auto"/>
                <w:sz w:val="21"/>
                <w:szCs w:val="21"/>
                <w:lang w:val="en-US" w:eastAsia="zh-CN"/>
              </w:rPr>
              <w:t>改造荣泰仓储部分储罐罐型、新增运输泵、汽车装卸设施、改造及新增管线等。</w:t>
            </w:r>
          </w:p>
        </w:tc>
        <w:tc>
          <w:tcPr>
            <w:tcW w:w="113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DDF960B">
            <w:pPr>
              <w:pStyle w:val="14"/>
              <w:kinsoku w:val="0"/>
              <w:overflowPunct w:val="0"/>
              <w:snapToGrid w:val="0"/>
              <w:jc w:val="center"/>
              <w:rPr>
                <w:rFonts w:eastAsia="仿宋"/>
                <w:color w:val="auto"/>
                <w:sz w:val="21"/>
                <w:szCs w:val="21"/>
                <w:lang w:val="en-US" w:eastAsia="zh-CN"/>
              </w:rPr>
            </w:pPr>
            <w:r>
              <w:rPr>
                <w:rFonts w:eastAsia="仿宋"/>
                <w:color w:val="auto"/>
                <w:sz w:val="21"/>
                <w:szCs w:val="21"/>
                <w:lang w:val="en-US" w:eastAsia="zh-CN"/>
              </w:rPr>
              <w:t>已验收</w:t>
            </w:r>
          </w:p>
        </w:tc>
        <w:tc>
          <w:tcPr>
            <w:tcW w:w="93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1D3CFAF">
            <w:pPr>
              <w:pStyle w:val="14"/>
              <w:kinsoku w:val="0"/>
              <w:overflowPunct w:val="0"/>
              <w:snapToGrid w:val="0"/>
              <w:jc w:val="center"/>
              <w:rPr>
                <w:rFonts w:eastAsia="仿宋"/>
                <w:color w:val="auto"/>
                <w:sz w:val="21"/>
                <w:szCs w:val="21"/>
                <w:lang w:val="en-US" w:eastAsia="zh-CN"/>
              </w:rPr>
            </w:pPr>
            <w:r>
              <w:rPr>
                <w:rFonts w:hint="eastAsia" w:eastAsia="仿宋"/>
                <w:color w:val="auto"/>
                <w:sz w:val="21"/>
                <w:szCs w:val="21"/>
                <w:lang w:val="en-US" w:eastAsia="zh-CN"/>
              </w:rPr>
              <w:t>斯尔邦石化</w:t>
            </w:r>
          </w:p>
        </w:tc>
        <w:tc>
          <w:tcPr>
            <w:tcW w:w="96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E7A7662">
            <w:pPr>
              <w:pStyle w:val="14"/>
              <w:kinsoku w:val="0"/>
              <w:overflowPunct w:val="0"/>
              <w:snapToGrid w:val="0"/>
              <w:jc w:val="center"/>
              <w:rPr>
                <w:rFonts w:eastAsia="仿宋"/>
                <w:color w:val="auto"/>
                <w:sz w:val="21"/>
                <w:szCs w:val="21"/>
                <w:lang w:val="en-US" w:eastAsia="zh-CN"/>
              </w:rPr>
            </w:pPr>
            <w:r>
              <w:rPr>
                <w:rFonts w:hint="eastAsia" w:eastAsia="仿宋"/>
                <w:color w:val="auto"/>
                <w:sz w:val="21"/>
                <w:szCs w:val="21"/>
                <w:lang w:val="en-US" w:eastAsia="zh-CN"/>
              </w:rPr>
              <w:t>PDH装置MMA装置</w:t>
            </w:r>
          </w:p>
        </w:tc>
        <w:tc>
          <w:tcPr>
            <w:tcW w:w="204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DCB6613">
            <w:pPr>
              <w:pStyle w:val="14"/>
              <w:kinsoku w:val="0"/>
              <w:overflowPunct w:val="0"/>
              <w:snapToGrid w:val="0"/>
              <w:jc w:val="center"/>
              <w:rPr>
                <w:rFonts w:eastAsia="仿宋"/>
                <w:color w:val="auto"/>
                <w:sz w:val="21"/>
                <w:szCs w:val="21"/>
                <w:lang w:val="en-US" w:eastAsia="zh-CN"/>
              </w:rPr>
            </w:pPr>
            <w:r>
              <w:rPr>
                <w:rFonts w:hint="eastAsia" w:eastAsia="仿宋"/>
                <w:color w:val="auto"/>
                <w:sz w:val="21"/>
                <w:szCs w:val="21"/>
                <w:lang w:val="en-US" w:eastAsia="zh-CN"/>
              </w:rPr>
              <w:t>关于江苏斯尔邦石化有限公司斯尔邦丙烷产业链项目环境影响报告书做出审批的决定批复（示范区环审（2019） 24 号）</w:t>
            </w:r>
          </w:p>
        </w:tc>
        <w:tc>
          <w:tcPr>
            <w:tcW w:w="91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AC4461F">
            <w:pPr>
              <w:pStyle w:val="14"/>
              <w:kinsoku w:val="0"/>
              <w:overflowPunct w:val="0"/>
              <w:snapToGrid w:val="0"/>
              <w:jc w:val="center"/>
              <w:rPr>
                <w:rFonts w:eastAsia="仿宋"/>
                <w:color w:val="auto"/>
                <w:sz w:val="21"/>
                <w:szCs w:val="21"/>
                <w:lang w:val="en-US" w:eastAsia="zh-CN"/>
              </w:rPr>
            </w:pPr>
            <w:r>
              <w:rPr>
                <w:rFonts w:hint="eastAsia" w:eastAsia="仿宋"/>
                <w:color w:val="auto"/>
                <w:sz w:val="21"/>
                <w:szCs w:val="21"/>
                <w:lang w:val="en-US" w:eastAsia="zh-CN"/>
              </w:rPr>
              <w:t>已验收</w:t>
            </w:r>
          </w:p>
        </w:tc>
        <w:tc>
          <w:tcPr>
            <w:tcW w:w="311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6BB6B75">
            <w:pPr>
              <w:pStyle w:val="14"/>
              <w:kinsoku w:val="0"/>
              <w:overflowPunct w:val="0"/>
              <w:snapToGrid w:val="0"/>
              <w:jc w:val="center"/>
              <w:rPr>
                <w:rFonts w:hint="eastAsia" w:eastAsia="仿宋"/>
                <w:color w:val="auto"/>
                <w:sz w:val="21"/>
                <w:szCs w:val="21"/>
                <w:lang w:val="en-US" w:eastAsia="zh-CN"/>
              </w:rPr>
            </w:pPr>
            <w:r>
              <w:rPr>
                <w:rFonts w:hint="eastAsia" w:eastAsia="仿宋"/>
                <w:color w:val="auto"/>
                <w:sz w:val="21"/>
                <w:szCs w:val="21"/>
                <w:lang w:val="en-US" w:eastAsia="zh-CN"/>
              </w:rPr>
              <w:t>建设1套70万吨/年丙烷脱氢（PDH）装置、2套26万吨/年丙烯腈（AN）装置、2套9万吨/年甲基丙烯酸甲酯（MMA）装置及1 套21万吨/年废酸再生（SAR）装置及其他配套工程</w:t>
            </w:r>
          </w:p>
        </w:tc>
      </w:tr>
      <w:tr w14:paraId="27642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jc w:val="center"/>
        </w:trPr>
        <w:tc>
          <w:tcPr>
            <w:tcW w:w="589" w:type="dxa"/>
            <w:vMerge w:val="restart"/>
            <w:tcBorders>
              <w:top w:val="single" w:color="000000" w:sz="6" w:space="0"/>
              <w:left w:val="single" w:color="000000" w:sz="6" w:space="0"/>
              <w:right w:val="single" w:color="000000" w:sz="6" w:space="0"/>
            </w:tcBorders>
            <w:shd w:val="clear" w:color="auto" w:fill="auto"/>
            <w:vAlign w:val="center"/>
          </w:tcPr>
          <w:p w14:paraId="7FAF2775">
            <w:pPr>
              <w:pStyle w:val="14"/>
              <w:kinsoku w:val="0"/>
              <w:overflowPunct w:val="0"/>
              <w:snapToGrid w:val="0"/>
              <w:jc w:val="center"/>
              <w:rPr>
                <w:rFonts w:hint="default" w:eastAsia="仿宋"/>
                <w:color w:val="auto"/>
                <w:sz w:val="21"/>
                <w:szCs w:val="21"/>
                <w:lang w:val="en-US" w:eastAsia="zh-CN"/>
              </w:rPr>
            </w:pPr>
            <w:r>
              <w:rPr>
                <w:rFonts w:hint="eastAsia" w:eastAsia="仿宋"/>
                <w:color w:val="auto"/>
                <w:sz w:val="21"/>
                <w:szCs w:val="21"/>
                <w:lang w:val="en-US" w:eastAsia="zh-CN"/>
              </w:rPr>
              <w:t>3</w:t>
            </w:r>
          </w:p>
        </w:tc>
        <w:tc>
          <w:tcPr>
            <w:tcW w:w="825" w:type="dxa"/>
            <w:vMerge w:val="restart"/>
            <w:tcBorders>
              <w:top w:val="single" w:color="000000" w:sz="6" w:space="0"/>
              <w:left w:val="single" w:color="000000" w:sz="6" w:space="0"/>
              <w:right w:val="single" w:color="000000" w:sz="6" w:space="0"/>
            </w:tcBorders>
            <w:shd w:val="clear" w:color="auto" w:fill="auto"/>
            <w:vAlign w:val="center"/>
          </w:tcPr>
          <w:p w14:paraId="1EF16382">
            <w:pPr>
              <w:pStyle w:val="14"/>
              <w:kinsoku w:val="0"/>
              <w:overflowPunct w:val="0"/>
              <w:snapToGrid w:val="0"/>
              <w:jc w:val="center"/>
              <w:rPr>
                <w:rFonts w:hint="eastAsia" w:eastAsia="仿宋"/>
                <w:color w:val="auto"/>
                <w:sz w:val="21"/>
                <w:szCs w:val="21"/>
                <w:lang w:val="en-US" w:eastAsia="zh-CN"/>
              </w:rPr>
            </w:pPr>
            <w:r>
              <w:rPr>
                <w:rFonts w:hint="eastAsia" w:eastAsia="仿宋"/>
                <w:color w:val="auto"/>
                <w:sz w:val="21"/>
                <w:szCs w:val="21"/>
                <w:lang w:val="en-US" w:eastAsia="zh-CN"/>
              </w:rPr>
              <w:t>丁烷</w:t>
            </w:r>
          </w:p>
        </w:tc>
        <w:tc>
          <w:tcPr>
            <w:tcW w:w="1873" w:type="dxa"/>
            <w:vMerge w:val="restart"/>
            <w:tcBorders>
              <w:top w:val="single" w:color="000000" w:sz="6" w:space="0"/>
              <w:left w:val="single" w:color="000000" w:sz="6" w:space="0"/>
              <w:right w:val="single" w:color="000000" w:sz="6" w:space="0"/>
            </w:tcBorders>
            <w:shd w:val="clear" w:color="auto" w:fill="auto"/>
            <w:vAlign w:val="center"/>
          </w:tcPr>
          <w:p w14:paraId="02D4483C">
            <w:pPr>
              <w:pStyle w:val="14"/>
              <w:kinsoku w:val="0"/>
              <w:overflowPunct w:val="0"/>
              <w:snapToGrid w:val="0"/>
              <w:jc w:val="center"/>
              <w:rPr>
                <w:rFonts w:hint="eastAsia" w:eastAsia="仿宋"/>
                <w:color w:val="auto"/>
                <w:sz w:val="21"/>
                <w:szCs w:val="21"/>
                <w:lang w:val="en-US" w:eastAsia="zh-CN"/>
              </w:rPr>
            </w:pPr>
            <w:r>
              <w:rPr>
                <w:rFonts w:hint="eastAsia" w:eastAsia="仿宋"/>
                <w:color w:val="auto"/>
                <w:sz w:val="21"/>
                <w:szCs w:val="21"/>
                <w:lang w:val="en-US" w:eastAsia="zh-CN"/>
              </w:rPr>
              <w:t>关于连云港荣泰化工仓储有限公司商储罐区工程（二期）低温储罐区项目环境影响报告书的批复（示范区环审（2018）11号）</w:t>
            </w:r>
          </w:p>
        </w:tc>
        <w:tc>
          <w:tcPr>
            <w:tcW w:w="1782" w:type="dxa"/>
            <w:vMerge w:val="restart"/>
            <w:tcBorders>
              <w:top w:val="single" w:color="000000" w:sz="6" w:space="0"/>
              <w:left w:val="single" w:color="000000" w:sz="6" w:space="0"/>
              <w:right w:val="single" w:color="000000" w:sz="6" w:space="0"/>
            </w:tcBorders>
            <w:shd w:val="clear" w:color="auto" w:fill="auto"/>
            <w:vAlign w:val="center"/>
          </w:tcPr>
          <w:p w14:paraId="1CCFD0C7">
            <w:pPr>
              <w:pStyle w:val="14"/>
              <w:kinsoku w:val="0"/>
              <w:overflowPunct w:val="0"/>
              <w:snapToGrid w:val="0"/>
              <w:jc w:val="center"/>
              <w:rPr>
                <w:rFonts w:hint="eastAsia" w:eastAsia="仿宋"/>
                <w:color w:val="auto"/>
                <w:sz w:val="21"/>
                <w:szCs w:val="21"/>
                <w:lang w:val="en-US" w:eastAsia="zh-CN"/>
              </w:rPr>
            </w:pPr>
            <w:r>
              <w:rPr>
                <w:rFonts w:hint="default" w:eastAsia="仿宋"/>
                <w:color w:val="auto"/>
                <w:sz w:val="21"/>
                <w:szCs w:val="21"/>
                <w:lang w:val="en-US" w:eastAsia="zh-CN"/>
              </w:rPr>
              <w:t>建设化工储罐17座，总库容 33.7 万m</w:t>
            </w:r>
            <w:r>
              <w:rPr>
                <w:rFonts w:hint="default" w:eastAsia="仿宋"/>
                <w:color w:val="auto"/>
                <w:sz w:val="21"/>
                <w:szCs w:val="21"/>
                <w:vertAlign w:val="superscript"/>
                <w:lang w:val="en-US" w:eastAsia="zh-CN"/>
              </w:rPr>
              <w:t>3</w:t>
            </w:r>
            <w:r>
              <w:rPr>
                <w:rFonts w:hint="default" w:eastAsia="仿宋"/>
                <w:color w:val="auto"/>
                <w:sz w:val="21"/>
                <w:szCs w:val="21"/>
                <w:lang w:val="en-US" w:eastAsia="zh-CN"/>
              </w:rPr>
              <w:t>，作业货种为低温乙烯、丙烷、丁烷、液氨、丙烯和常温LPG（液化气/丙烷/丁烷）。</w:t>
            </w:r>
          </w:p>
        </w:tc>
        <w:tc>
          <w:tcPr>
            <w:tcW w:w="1131" w:type="dxa"/>
            <w:vMerge w:val="restart"/>
            <w:tcBorders>
              <w:top w:val="single" w:color="000000" w:sz="6" w:space="0"/>
              <w:left w:val="single" w:color="000000" w:sz="6" w:space="0"/>
              <w:right w:val="single" w:color="000000" w:sz="6" w:space="0"/>
            </w:tcBorders>
            <w:shd w:val="clear" w:color="auto" w:fill="auto"/>
            <w:vAlign w:val="center"/>
          </w:tcPr>
          <w:p w14:paraId="592FEEF6">
            <w:pPr>
              <w:pStyle w:val="14"/>
              <w:kinsoku w:val="0"/>
              <w:overflowPunct w:val="0"/>
              <w:snapToGrid w:val="0"/>
              <w:jc w:val="center"/>
              <w:rPr>
                <w:rFonts w:eastAsia="仿宋"/>
                <w:color w:val="auto"/>
                <w:sz w:val="21"/>
                <w:szCs w:val="21"/>
                <w:lang w:val="en-US" w:eastAsia="zh-CN"/>
              </w:rPr>
            </w:pPr>
            <w:r>
              <w:rPr>
                <w:rFonts w:hint="eastAsia" w:eastAsia="仿宋"/>
                <w:color w:val="auto"/>
                <w:sz w:val="21"/>
                <w:szCs w:val="21"/>
                <w:lang w:val="en-US" w:eastAsia="zh-CN"/>
              </w:rPr>
              <w:t>已验收</w:t>
            </w:r>
          </w:p>
        </w:tc>
        <w:tc>
          <w:tcPr>
            <w:tcW w:w="93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B9DDF7A">
            <w:pPr>
              <w:pStyle w:val="14"/>
              <w:kinsoku w:val="0"/>
              <w:overflowPunct w:val="0"/>
              <w:snapToGrid w:val="0"/>
              <w:jc w:val="center"/>
              <w:rPr>
                <w:rFonts w:hint="eastAsia" w:eastAsia="仿宋"/>
                <w:color w:val="auto"/>
                <w:sz w:val="21"/>
                <w:szCs w:val="21"/>
                <w:lang w:val="en-US" w:eastAsia="zh-CN"/>
              </w:rPr>
            </w:pPr>
            <w:r>
              <w:rPr>
                <w:rFonts w:hint="eastAsia" w:eastAsia="仿宋"/>
                <w:color w:val="auto"/>
                <w:sz w:val="21"/>
                <w:szCs w:val="21"/>
                <w:lang w:val="en-US" w:eastAsia="zh-CN"/>
              </w:rPr>
              <w:t>盛虹炼化</w:t>
            </w:r>
          </w:p>
        </w:tc>
        <w:tc>
          <w:tcPr>
            <w:tcW w:w="96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F1017A4">
            <w:pPr>
              <w:pStyle w:val="14"/>
              <w:kinsoku w:val="0"/>
              <w:overflowPunct w:val="0"/>
              <w:snapToGrid w:val="0"/>
              <w:jc w:val="center"/>
              <w:rPr>
                <w:rFonts w:hint="eastAsia" w:eastAsia="仿宋"/>
                <w:color w:val="auto"/>
                <w:sz w:val="21"/>
                <w:szCs w:val="21"/>
                <w:lang w:val="en-US" w:eastAsia="zh-CN"/>
              </w:rPr>
            </w:pPr>
            <w:r>
              <w:rPr>
                <w:rFonts w:hint="eastAsia" w:eastAsia="仿宋"/>
                <w:color w:val="auto"/>
                <w:sz w:val="21"/>
                <w:szCs w:val="21"/>
                <w:lang w:val="en-US" w:eastAsia="zh-CN"/>
              </w:rPr>
              <w:t>气液分离重整装置</w:t>
            </w:r>
          </w:p>
        </w:tc>
        <w:tc>
          <w:tcPr>
            <w:tcW w:w="204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A15945F">
            <w:pPr>
              <w:pStyle w:val="14"/>
              <w:kinsoku w:val="0"/>
              <w:overflowPunct w:val="0"/>
              <w:snapToGrid w:val="0"/>
              <w:jc w:val="center"/>
              <w:rPr>
                <w:rFonts w:hint="eastAsia" w:eastAsia="仿宋"/>
                <w:color w:val="auto"/>
                <w:sz w:val="21"/>
                <w:szCs w:val="21"/>
                <w:lang w:val="en-US" w:eastAsia="zh-CN"/>
              </w:rPr>
            </w:pPr>
            <w:r>
              <w:rPr>
                <w:rFonts w:hint="eastAsia" w:eastAsia="仿宋"/>
                <w:color w:val="auto"/>
                <w:sz w:val="21"/>
                <w:szCs w:val="21"/>
                <w:lang w:val="en-US" w:eastAsia="zh-CN"/>
              </w:rPr>
              <w:t>关于盛虹炼化（连云港）有限公司炼化一体化项目环境影响报告书的批复（环审（2018）136 号）</w:t>
            </w:r>
          </w:p>
        </w:tc>
        <w:tc>
          <w:tcPr>
            <w:tcW w:w="91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426D2F1">
            <w:pPr>
              <w:pStyle w:val="14"/>
              <w:kinsoku w:val="0"/>
              <w:overflowPunct w:val="0"/>
              <w:snapToGrid w:val="0"/>
              <w:jc w:val="center"/>
              <w:rPr>
                <w:rFonts w:hint="eastAsia" w:eastAsia="仿宋"/>
                <w:color w:val="auto"/>
                <w:sz w:val="21"/>
                <w:szCs w:val="21"/>
                <w:lang w:val="en-US" w:eastAsia="zh-CN"/>
              </w:rPr>
            </w:pPr>
            <w:r>
              <w:rPr>
                <w:rFonts w:hint="eastAsia" w:eastAsia="仿宋"/>
                <w:color w:val="auto"/>
                <w:sz w:val="21"/>
                <w:szCs w:val="21"/>
                <w:lang w:val="en-US" w:eastAsia="zh-CN"/>
              </w:rPr>
              <w:t>已验收</w:t>
            </w:r>
          </w:p>
        </w:tc>
        <w:tc>
          <w:tcPr>
            <w:tcW w:w="311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FC677F1">
            <w:pPr>
              <w:pStyle w:val="14"/>
              <w:kinsoku w:val="0"/>
              <w:overflowPunct w:val="0"/>
              <w:snapToGrid w:val="0"/>
              <w:jc w:val="center"/>
              <w:rPr>
                <w:rFonts w:hint="eastAsia" w:eastAsia="仿宋"/>
                <w:color w:val="auto"/>
                <w:sz w:val="21"/>
                <w:szCs w:val="21"/>
                <w:lang w:val="en-US" w:eastAsia="zh-CN"/>
              </w:rPr>
            </w:pPr>
            <w:r>
              <w:rPr>
                <w:rFonts w:hint="eastAsia" w:eastAsia="仿宋"/>
                <w:color w:val="auto"/>
                <w:sz w:val="21"/>
                <w:szCs w:val="21"/>
                <w:lang w:val="en-US" w:eastAsia="zh-CN"/>
              </w:rPr>
              <w:t>建设1600万吨/年炼油、280万吨/年芳烃、110万/年乙烯炼化一体化项目</w:t>
            </w:r>
          </w:p>
        </w:tc>
      </w:tr>
      <w:tr w14:paraId="12F61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jc w:val="center"/>
        </w:trPr>
        <w:tc>
          <w:tcPr>
            <w:tcW w:w="589" w:type="dxa"/>
            <w:vMerge w:val="continue"/>
            <w:tcBorders>
              <w:left w:val="single" w:color="000000" w:sz="6" w:space="0"/>
              <w:bottom w:val="single" w:color="000000" w:sz="6" w:space="0"/>
              <w:right w:val="single" w:color="000000" w:sz="6" w:space="0"/>
            </w:tcBorders>
            <w:shd w:val="clear" w:color="auto" w:fill="auto"/>
            <w:vAlign w:val="center"/>
          </w:tcPr>
          <w:p w14:paraId="6154F160">
            <w:pPr>
              <w:pStyle w:val="14"/>
              <w:kinsoku w:val="0"/>
              <w:overflowPunct w:val="0"/>
              <w:snapToGrid w:val="0"/>
              <w:jc w:val="center"/>
              <w:rPr>
                <w:rFonts w:hint="default" w:eastAsia="仿宋"/>
                <w:color w:val="auto"/>
                <w:sz w:val="21"/>
                <w:szCs w:val="21"/>
                <w:lang w:val="en-US" w:eastAsia="zh-CN"/>
              </w:rPr>
            </w:pPr>
          </w:p>
        </w:tc>
        <w:tc>
          <w:tcPr>
            <w:tcW w:w="825" w:type="dxa"/>
            <w:vMerge w:val="continue"/>
            <w:tcBorders>
              <w:left w:val="single" w:color="000000" w:sz="6" w:space="0"/>
              <w:bottom w:val="single" w:color="000000" w:sz="6" w:space="0"/>
              <w:right w:val="single" w:color="000000" w:sz="6" w:space="0"/>
            </w:tcBorders>
            <w:shd w:val="clear" w:color="auto" w:fill="auto"/>
            <w:vAlign w:val="center"/>
          </w:tcPr>
          <w:p w14:paraId="0072FB44">
            <w:pPr>
              <w:pStyle w:val="14"/>
              <w:kinsoku w:val="0"/>
              <w:overflowPunct w:val="0"/>
              <w:snapToGrid w:val="0"/>
              <w:jc w:val="center"/>
              <w:rPr>
                <w:rFonts w:hint="eastAsia" w:eastAsia="仿宋"/>
                <w:color w:val="auto"/>
                <w:sz w:val="21"/>
                <w:szCs w:val="21"/>
                <w:lang w:val="en-US" w:eastAsia="zh-CN"/>
              </w:rPr>
            </w:pPr>
          </w:p>
        </w:tc>
        <w:tc>
          <w:tcPr>
            <w:tcW w:w="1873" w:type="dxa"/>
            <w:vMerge w:val="continue"/>
            <w:tcBorders>
              <w:left w:val="single" w:color="000000" w:sz="6" w:space="0"/>
              <w:right w:val="single" w:color="000000" w:sz="6" w:space="0"/>
            </w:tcBorders>
            <w:shd w:val="clear" w:color="auto" w:fill="auto"/>
            <w:vAlign w:val="center"/>
          </w:tcPr>
          <w:p w14:paraId="5BDA56BF">
            <w:pPr>
              <w:pStyle w:val="14"/>
              <w:kinsoku w:val="0"/>
              <w:overflowPunct w:val="0"/>
              <w:snapToGrid w:val="0"/>
              <w:jc w:val="center"/>
              <w:rPr>
                <w:rFonts w:hint="eastAsia" w:eastAsia="仿宋"/>
                <w:color w:val="auto"/>
                <w:sz w:val="21"/>
                <w:szCs w:val="21"/>
                <w:lang w:val="en-US" w:eastAsia="zh-CN"/>
              </w:rPr>
            </w:pPr>
          </w:p>
        </w:tc>
        <w:tc>
          <w:tcPr>
            <w:tcW w:w="1782" w:type="dxa"/>
            <w:vMerge w:val="continue"/>
            <w:tcBorders>
              <w:left w:val="single" w:color="000000" w:sz="6" w:space="0"/>
              <w:right w:val="single" w:color="000000" w:sz="6" w:space="0"/>
            </w:tcBorders>
            <w:shd w:val="clear" w:color="auto" w:fill="auto"/>
            <w:vAlign w:val="center"/>
          </w:tcPr>
          <w:p w14:paraId="2E79D0A2">
            <w:pPr>
              <w:pStyle w:val="14"/>
              <w:kinsoku w:val="0"/>
              <w:overflowPunct w:val="0"/>
              <w:snapToGrid w:val="0"/>
              <w:jc w:val="center"/>
              <w:rPr>
                <w:rFonts w:hint="eastAsia" w:eastAsia="仿宋"/>
                <w:color w:val="auto"/>
                <w:sz w:val="21"/>
                <w:szCs w:val="21"/>
                <w:lang w:val="en-US" w:eastAsia="zh-CN"/>
              </w:rPr>
            </w:pPr>
          </w:p>
        </w:tc>
        <w:tc>
          <w:tcPr>
            <w:tcW w:w="1131" w:type="dxa"/>
            <w:vMerge w:val="continue"/>
            <w:tcBorders>
              <w:left w:val="single" w:color="000000" w:sz="6" w:space="0"/>
              <w:right w:val="single" w:color="000000" w:sz="6" w:space="0"/>
            </w:tcBorders>
            <w:shd w:val="clear" w:color="auto" w:fill="auto"/>
            <w:vAlign w:val="center"/>
          </w:tcPr>
          <w:p w14:paraId="4320BDAF">
            <w:pPr>
              <w:pStyle w:val="14"/>
              <w:kinsoku w:val="0"/>
              <w:overflowPunct w:val="0"/>
              <w:snapToGrid w:val="0"/>
              <w:jc w:val="center"/>
              <w:rPr>
                <w:rFonts w:eastAsia="仿宋"/>
                <w:color w:val="auto"/>
                <w:sz w:val="21"/>
                <w:szCs w:val="21"/>
                <w:lang w:val="en-US" w:eastAsia="zh-CN"/>
              </w:rPr>
            </w:pPr>
          </w:p>
        </w:tc>
        <w:tc>
          <w:tcPr>
            <w:tcW w:w="93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C5581B4">
            <w:pPr>
              <w:pStyle w:val="14"/>
              <w:kinsoku w:val="0"/>
              <w:overflowPunct w:val="0"/>
              <w:snapToGrid w:val="0"/>
              <w:jc w:val="center"/>
              <w:rPr>
                <w:rFonts w:hint="eastAsia" w:eastAsia="仿宋"/>
                <w:color w:val="auto"/>
                <w:sz w:val="21"/>
                <w:szCs w:val="21"/>
                <w:lang w:val="en-US" w:eastAsia="zh-CN"/>
              </w:rPr>
            </w:pPr>
            <w:r>
              <w:rPr>
                <w:rFonts w:hint="eastAsia" w:eastAsia="仿宋"/>
                <w:color w:val="auto"/>
                <w:sz w:val="21"/>
                <w:szCs w:val="21"/>
                <w:lang w:val="en-US" w:eastAsia="zh-CN"/>
              </w:rPr>
              <w:t>虹港石化（预留甩头）</w:t>
            </w:r>
          </w:p>
        </w:tc>
        <w:tc>
          <w:tcPr>
            <w:tcW w:w="96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433D51C">
            <w:pPr>
              <w:pStyle w:val="14"/>
              <w:kinsoku w:val="0"/>
              <w:overflowPunct w:val="0"/>
              <w:snapToGrid w:val="0"/>
              <w:jc w:val="center"/>
              <w:rPr>
                <w:rFonts w:hint="eastAsia" w:eastAsia="仿宋"/>
                <w:color w:val="auto"/>
                <w:sz w:val="21"/>
                <w:szCs w:val="21"/>
                <w:lang w:val="en-US" w:eastAsia="zh-CN"/>
              </w:rPr>
            </w:pPr>
            <w:r>
              <w:rPr>
                <w:rFonts w:hint="eastAsia" w:eastAsia="仿宋"/>
                <w:color w:val="auto"/>
                <w:sz w:val="21"/>
                <w:szCs w:val="21"/>
                <w:lang w:val="en-US" w:eastAsia="zh-CN"/>
              </w:rPr>
              <w:t>沼气/燃料锅炉</w:t>
            </w:r>
          </w:p>
        </w:tc>
        <w:tc>
          <w:tcPr>
            <w:tcW w:w="204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6D78777">
            <w:pPr>
              <w:pStyle w:val="14"/>
              <w:kinsoku w:val="0"/>
              <w:overflowPunct w:val="0"/>
              <w:snapToGrid w:val="0"/>
              <w:jc w:val="center"/>
              <w:rPr>
                <w:rFonts w:hint="eastAsia" w:eastAsia="仿宋"/>
                <w:color w:val="auto"/>
                <w:sz w:val="21"/>
                <w:szCs w:val="21"/>
                <w:lang w:val="en-US" w:eastAsia="zh-CN"/>
              </w:rPr>
            </w:pPr>
            <w:r>
              <w:rPr>
                <w:rFonts w:hint="eastAsia" w:eastAsia="仿宋"/>
                <w:color w:val="auto"/>
                <w:sz w:val="21"/>
                <w:szCs w:val="21"/>
                <w:lang w:val="en-US" w:eastAsia="zh-CN"/>
              </w:rPr>
              <w:t>关于江苏虹港石化有限公司公用工程设施项目环境影响报告书的批复（示范区环审（2023）16号）</w:t>
            </w:r>
          </w:p>
        </w:tc>
        <w:tc>
          <w:tcPr>
            <w:tcW w:w="91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17853AC">
            <w:pPr>
              <w:pStyle w:val="14"/>
              <w:kinsoku w:val="0"/>
              <w:overflowPunct w:val="0"/>
              <w:snapToGrid w:val="0"/>
              <w:jc w:val="center"/>
              <w:rPr>
                <w:rFonts w:hint="eastAsia" w:eastAsia="仿宋"/>
                <w:color w:val="auto"/>
                <w:sz w:val="21"/>
                <w:szCs w:val="21"/>
                <w:lang w:val="en-US" w:eastAsia="zh-CN"/>
              </w:rPr>
            </w:pPr>
            <w:r>
              <w:rPr>
                <w:rFonts w:hint="eastAsia" w:eastAsia="仿宋"/>
                <w:color w:val="auto"/>
                <w:sz w:val="21"/>
                <w:szCs w:val="21"/>
                <w:lang w:val="en-US" w:eastAsia="zh-CN"/>
              </w:rPr>
              <w:t>试生产中</w:t>
            </w:r>
          </w:p>
        </w:tc>
        <w:tc>
          <w:tcPr>
            <w:tcW w:w="311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EBA89BE">
            <w:pPr>
              <w:pStyle w:val="14"/>
              <w:kinsoku w:val="0"/>
              <w:overflowPunct w:val="0"/>
              <w:snapToGrid w:val="0"/>
              <w:jc w:val="center"/>
              <w:rPr>
                <w:rFonts w:hint="eastAsia" w:eastAsia="仿宋"/>
                <w:color w:val="auto"/>
                <w:sz w:val="21"/>
                <w:szCs w:val="21"/>
                <w:lang w:val="en-US" w:eastAsia="zh-CN"/>
              </w:rPr>
            </w:pPr>
            <w:r>
              <w:rPr>
                <w:rFonts w:hint="eastAsia" w:eastAsia="仿宋"/>
                <w:color w:val="auto"/>
                <w:sz w:val="21"/>
                <w:szCs w:val="21"/>
                <w:lang w:val="en-US" w:eastAsia="zh-CN"/>
              </w:rPr>
              <w:t>虹港石化240万吨年精对苯二甲酸PTA三期项目、聚酯新材料项目的配套服务工程，建设内容包括污水处理站(三)、新材料产、品库、CHDM三废处理单元、沼气/燃气锅炉、脱盐水储罐等公用工程及辅助服务设施</w:t>
            </w:r>
          </w:p>
        </w:tc>
      </w:tr>
    </w:tbl>
    <w:p w14:paraId="6A8A76DC">
      <w:pPr>
        <w:pStyle w:val="4"/>
        <w:kinsoku w:val="0"/>
        <w:overflowPunct w:val="0"/>
        <w:spacing w:before="168"/>
        <w:ind w:left="0" w:right="255" w:firstLine="480" w:firstLineChars="200"/>
        <w:outlineLvl w:val="0"/>
        <w:rPr>
          <w:rFonts w:ascii="Times New Roman" w:eastAsia="仿宋" w:cs="Times New Roman"/>
          <w:color w:val="auto"/>
          <w:sz w:val="24"/>
          <w:szCs w:val="24"/>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type="lines" w:linePitch="332" w:charSpace="0"/>
        </w:sectPr>
      </w:pPr>
    </w:p>
    <w:tbl>
      <w:tblPr>
        <w:tblStyle w:val="7"/>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071"/>
      </w:tblGrid>
      <w:tr w14:paraId="55B25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6" w:hRule="atLeast"/>
          <w:jc w:val="center"/>
        </w:trPr>
        <w:tc>
          <w:tcPr>
            <w:tcW w:w="9071" w:type="dxa"/>
          </w:tcPr>
          <w:p w14:paraId="7109E773">
            <w:pPr>
              <w:pStyle w:val="14"/>
              <w:kinsoku w:val="0"/>
              <w:overflowPunct w:val="0"/>
              <w:spacing w:line="500" w:lineRule="exact"/>
              <w:ind w:left="102"/>
              <w:rPr>
                <w:rFonts w:eastAsia="仿宋"/>
                <w:b/>
                <w:bCs/>
                <w:color w:val="auto"/>
                <w:highlight w:val="none"/>
              </w:rPr>
            </w:pPr>
            <w:r>
              <w:rPr>
                <w:rFonts w:eastAsia="仿宋"/>
                <w:b/>
                <w:bCs/>
                <w:color w:val="auto"/>
                <w:highlight w:val="none"/>
              </w:rPr>
              <w:t>实际工程量及工程建设变化情况，说明工程变化原因</w:t>
            </w:r>
          </w:p>
          <w:p w14:paraId="11AABE69">
            <w:pPr>
              <w:pStyle w:val="14"/>
              <w:kinsoku w:val="0"/>
              <w:overflowPunct w:val="0"/>
              <w:adjustRightInd/>
              <w:spacing w:line="500" w:lineRule="exact"/>
              <w:ind w:firstLine="480" w:firstLineChars="200"/>
              <w:jc w:val="both"/>
              <w:rPr>
                <w:rFonts w:eastAsia="仿宋"/>
                <w:color w:val="auto"/>
              </w:rPr>
            </w:pPr>
            <w:r>
              <w:rPr>
                <w:rFonts w:hint="eastAsia" w:ascii="Times New Roman" w:hAnsi="Times New Roman" w:eastAsia="仿宋" w:cs="Times New Roman"/>
                <w:color w:val="auto"/>
                <w:highlight w:val="none"/>
                <w:lang w:val="en-US" w:eastAsia="zh-CN"/>
              </w:rPr>
              <w:t>由于企业无需再为</w:t>
            </w:r>
            <w:r>
              <w:rPr>
                <w:rFonts w:hint="eastAsia" w:ascii="Times New Roman" w:hAnsi="Times New Roman" w:eastAsia="仿宋" w:cs="Times New Roman"/>
                <w:color w:val="auto"/>
                <w:highlight w:val="none"/>
              </w:rPr>
              <w:t>斯尔邦PDH装置</w:t>
            </w:r>
            <w:r>
              <w:rPr>
                <w:rFonts w:hint="eastAsia" w:ascii="Times New Roman" w:hAnsi="Times New Roman" w:eastAsia="仿宋" w:cs="Times New Roman"/>
                <w:color w:val="auto"/>
                <w:highlight w:val="none"/>
                <w:lang w:val="en-US" w:eastAsia="zh-CN"/>
              </w:rPr>
              <w:t>提供原料丙烷，丙烷输送关系及丙烷复热器、增压泵等附属配套设施不再建设。</w:t>
            </w:r>
          </w:p>
        </w:tc>
      </w:tr>
      <w:tr w14:paraId="3A14E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071" w:type="dxa"/>
          </w:tcPr>
          <w:p w14:paraId="1E4FFB7D">
            <w:pPr>
              <w:pStyle w:val="14"/>
              <w:kinsoku w:val="0"/>
              <w:overflowPunct w:val="0"/>
              <w:spacing w:line="500" w:lineRule="exact"/>
              <w:ind w:left="102"/>
              <w:rPr>
                <w:rFonts w:hint="eastAsia" w:ascii="仿宋" w:hAnsi="仿宋" w:eastAsia="仿宋" w:cs="仿宋"/>
                <w:b/>
                <w:bCs/>
                <w:color w:val="auto"/>
              </w:rPr>
            </w:pPr>
            <w:r>
              <w:rPr>
                <w:rFonts w:hint="eastAsia" w:ascii="仿宋" w:hAnsi="仿宋" w:eastAsia="仿宋" w:cs="仿宋"/>
                <w:b/>
                <w:bCs/>
                <w:color w:val="auto"/>
              </w:rPr>
              <w:t>施工工序流程(附流程图)</w:t>
            </w:r>
          </w:p>
          <w:p w14:paraId="40E8DEB5">
            <w:pPr>
              <w:pStyle w:val="14"/>
              <w:kinsoku w:val="0"/>
              <w:overflowPunct w:val="0"/>
              <w:spacing w:line="500" w:lineRule="exact"/>
              <w:ind w:firstLine="480" w:firstLineChars="200"/>
              <w:rPr>
                <w:rFonts w:hint="eastAsia" w:ascii="仿宋" w:hAnsi="仿宋" w:eastAsia="仿宋" w:cs="仿宋"/>
                <w:color w:val="auto"/>
              </w:rPr>
            </w:pPr>
            <w:r>
              <w:rPr>
                <w:rFonts w:hint="eastAsia" w:ascii="仿宋" w:hAnsi="仿宋" w:eastAsia="仿宋" w:cs="仿宋"/>
                <w:color w:val="auto"/>
              </w:rPr>
              <w:t>本项目依托园区公共管廊现有管廊，架设、新建</w:t>
            </w:r>
            <w:r>
              <w:rPr>
                <w:rFonts w:hint="eastAsia" w:ascii="仿宋" w:hAnsi="仿宋" w:eastAsia="仿宋" w:cs="仿宋"/>
                <w:color w:val="auto"/>
                <w:lang w:val="en-US" w:eastAsia="zh-CN"/>
              </w:rPr>
              <w:t>3</w:t>
            </w:r>
            <w:r>
              <w:rPr>
                <w:rFonts w:hint="eastAsia" w:ascii="仿宋" w:hAnsi="仿宋" w:eastAsia="仿宋" w:cs="仿宋"/>
                <w:color w:val="auto"/>
              </w:rPr>
              <w:t>条付料管输线，管廊主要占用生产防护绿地范围，植被类型为人工栽种的园林绿化植物，沿途主要为其他企业厂房。本项仅为管线敷设，不涉及管廊建设。本项目新建管线不涉及地下管道，无土建施工。</w:t>
            </w:r>
          </w:p>
          <w:p w14:paraId="1F7B5308">
            <w:pPr>
              <w:pStyle w:val="14"/>
              <w:kinsoku w:val="0"/>
              <w:overflowPunct w:val="0"/>
              <w:spacing w:line="500" w:lineRule="exact"/>
              <w:ind w:firstLine="480" w:firstLineChars="200"/>
              <w:rPr>
                <w:rFonts w:hint="eastAsia" w:ascii="仿宋" w:hAnsi="仿宋" w:eastAsia="仿宋" w:cs="仿宋"/>
                <w:color w:val="auto"/>
              </w:rPr>
            </w:pPr>
            <w:r>
              <w:rPr>
                <w:rFonts w:hint="eastAsia" w:ascii="仿宋" w:hAnsi="仿宋" w:eastAsia="仿宋" w:cs="仿宋"/>
                <w:color w:val="auto"/>
              </w:rPr>
              <w:t>本项目所使用管道及其外防腐层均购买成品管，不涉及施工管材生产与加工，施工期所有X射线探伤装置须按相关环境管理要求另行办理报批手续。</w:t>
            </w:r>
          </w:p>
          <w:p w14:paraId="25A657AF">
            <w:pPr>
              <w:pStyle w:val="14"/>
              <w:kinsoku w:val="0"/>
              <w:overflowPunct w:val="0"/>
              <w:spacing w:line="500" w:lineRule="exact"/>
              <w:ind w:firstLine="480" w:firstLineChars="200"/>
              <w:rPr>
                <w:rFonts w:hint="eastAsia" w:ascii="仿宋" w:hAnsi="仿宋" w:eastAsia="仿宋" w:cs="仿宋"/>
                <w:color w:val="auto"/>
              </w:rPr>
            </w:pPr>
            <w:r>
              <w:rPr>
                <w:rFonts w:hint="eastAsia" w:ascii="仿宋" w:hAnsi="仿宋" w:eastAsia="仿宋" w:cs="仿宋"/>
                <w:color w:val="auto"/>
              </w:rPr>
              <w:t>管道施工工艺流程及产污环节见下图。</w:t>
            </w:r>
          </w:p>
          <w:p w14:paraId="3F8690D3">
            <w:pPr>
              <w:pStyle w:val="14"/>
              <w:kinsoku w:val="0"/>
              <w:overflowPunct w:val="0"/>
              <w:jc w:val="center"/>
              <w:rPr>
                <w:color w:val="auto"/>
              </w:rPr>
            </w:pPr>
            <w:r>
              <w:rPr>
                <w:color w:val="auto"/>
              </w:rPr>
              <w:drawing>
                <wp:inline distT="0" distB="0" distL="114300" distR="114300">
                  <wp:extent cx="3153410" cy="3053715"/>
                  <wp:effectExtent l="0" t="0" r="8890" b="13335"/>
                  <wp:docPr id="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pic:cNvPicPr>
                            <a:picLocks noChangeAspect="1"/>
                          </pic:cNvPicPr>
                        </pic:nvPicPr>
                        <pic:blipFill>
                          <a:blip r:embed="rId17"/>
                          <a:srcRect t="652"/>
                          <a:stretch>
                            <a:fillRect/>
                          </a:stretch>
                        </pic:blipFill>
                        <pic:spPr>
                          <a:xfrm>
                            <a:off x="0" y="0"/>
                            <a:ext cx="3153410" cy="3053715"/>
                          </a:xfrm>
                          <a:prstGeom prst="rect">
                            <a:avLst/>
                          </a:prstGeom>
                          <a:noFill/>
                          <a:ln>
                            <a:noFill/>
                          </a:ln>
                        </pic:spPr>
                      </pic:pic>
                    </a:graphicData>
                  </a:graphic>
                </wp:inline>
              </w:drawing>
            </w:r>
          </w:p>
          <w:p w14:paraId="00E78AA1">
            <w:pPr>
              <w:pStyle w:val="14"/>
              <w:kinsoku w:val="0"/>
              <w:overflowPunct w:val="0"/>
              <w:spacing w:line="500" w:lineRule="exact"/>
              <w:jc w:val="center"/>
              <w:rPr>
                <w:rFonts w:hint="eastAsia" w:ascii="仿宋" w:hAnsi="仿宋" w:eastAsia="仿宋" w:cs="仿宋"/>
                <w:b/>
                <w:bCs/>
                <w:color w:val="auto"/>
                <w:sz w:val="21"/>
                <w:szCs w:val="21"/>
              </w:rPr>
            </w:pPr>
            <w:r>
              <w:rPr>
                <w:rFonts w:hint="eastAsia" w:ascii="仿宋" w:hAnsi="仿宋" w:eastAsia="仿宋" w:cs="仿宋"/>
                <w:b/>
                <w:bCs/>
                <w:color w:val="auto"/>
                <w:sz w:val="21"/>
                <w:szCs w:val="21"/>
                <w:lang w:val="en-US" w:eastAsia="zh-CN"/>
              </w:rPr>
              <w:t xml:space="preserve">图1 </w:t>
            </w:r>
            <w:r>
              <w:rPr>
                <w:rFonts w:hint="eastAsia" w:ascii="仿宋" w:hAnsi="仿宋" w:eastAsia="仿宋" w:cs="仿宋"/>
                <w:b/>
                <w:bCs/>
                <w:color w:val="auto"/>
                <w:sz w:val="21"/>
                <w:szCs w:val="21"/>
              </w:rPr>
              <w:t>管道施工工艺流程及产污环节图</w:t>
            </w:r>
          </w:p>
          <w:p w14:paraId="462A98C8">
            <w:pPr>
              <w:pStyle w:val="14"/>
              <w:kinsoku w:val="0"/>
              <w:overflowPunct w:val="0"/>
              <w:spacing w:line="500" w:lineRule="exact"/>
              <w:ind w:firstLine="482" w:firstLineChars="200"/>
              <w:rPr>
                <w:rFonts w:eastAsia="仿宋"/>
                <w:b/>
                <w:bCs/>
                <w:color w:val="auto"/>
              </w:rPr>
            </w:pPr>
            <w:r>
              <w:rPr>
                <w:rFonts w:eastAsia="仿宋"/>
                <w:b/>
                <w:bCs/>
                <w:color w:val="auto"/>
              </w:rPr>
              <w:t>工艺流程简述：</w:t>
            </w:r>
          </w:p>
          <w:p w14:paraId="15A51CEC">
            <w:pPr>
              <w:pStyle w:val="14"/>
              <w:kinsoku w:val="0"/>
              <w:overflowPunct w:val="0"/>
              <w:spacing w:line="500" w:lineRule="exact"/>
              <w:ind w:firstLine="480" w:firstLineChars="200"/>
              <w:rPr>
                <w:rFonts w:eastAsia="仿宋"/>
                <w:color w:val="auto"/>
              </w:rPr>
            </w:pPr>
            <w:r>
              <w:rPr>
                <w:rFonts w:eastAsia="仿宋"/>
                <w:color w:val="auto"/>
              </w:rPr>
              <w:t>（1）管道、配件准备</w:t>
            </w:r>
          </w:p>
          <w:p w14:paraId="19EFF7EF">
            <w:pPr>
              <w:pStyle w:val="14"/>
              <w:kinsoku w:val="0"/>
              <w:overflowPunct w:val="0"/>
              <w:spacing w:line="500" w:lineRule="exact"/>
              <w:ind w:firstLine="480" w:firstLineChars="200"/>
              <w:rPr>
                <w:rFonts w:eastAsia="仿宋"/>
                <w:color w:val="auto"/>
              </w:rPr>
            </w:pPr>
            <w:r>
              <w:rPr>
                <w:rFonts w:eastAsia="仿宋"/>
                <w:color w:val="auto"/>
              </w:rPr>
              <w:t>用汽车将管道、配件等运送至施工现场，沿管廊放置。管道在预制厂进行喷砂除锈并涂刷好底漆，可直接安装。</w:t>
            </w:r>
          </w:p>
          <w:p w14:paraId="19FE2202">
            <w:pPr>
              <w:pStyle w:val="14"/>
              <w:kinsoku w:val="0"/>
              <w:overflowPunct w:val="0"/>
              <w:spacing w:line="500" w:lineRule="exact"/>
              <w:ind w:firstLine="480" w:firstLineChars="200"/>
              <w:rPr>
                <w:rFonts w:eastAsia="仿宋"/>
                <w:color w:val="auto"/>
              </w:rPr>
            </w:pPr>
            <w:r>
              <w:rPr>
                <w:rFonts w:eastAsia="仿宋"/>
                <w:color w:val="auto"/>
              </w:rPr>
              <w:t>（2）安装前检查</w:t>
            </w:r>
          </w:p>
          <w:p w14:paraId="4354EE53">
            <w:pPr>
              <w:pStyle w:val="14"/>
              <w:kinsoku w:val="0"/>
              <w:overflowPunct w:val="0"/>
              <w:spacing w:line="500" w:lineRule="exact"/>
              <w:ind w:firstLine="480" w:firstLineChars="200"/>
              <w:rPr>
                <w:rFonts w:eastAsia="仿宋"/>
                <w:color w:val="auto"/>
              </w:rPr>
            </w:pPr>
            <w:r>
              <w:rPr>
                <w:rFonts w:eastAsia="仿宋"/>
                <w:color w:val="auto"/>
              </w:rPr>
              <w:t>检查各类管道、管件、阀门的规格，检查管道、管件、阀门等是否清理干净、无杂物。</w:t>
            </w:r>
          </w:p>
          <w:p w14:paraId="7F5EFEDE">
            <w:pPr>
              <w:pStyle w:val="14"/>
              <w:kinsoku w:val="0"/>
              <w:overflowPunct w:val="0"/>
              <w:spacing w:line="500" w:lineRule="exact"/>
              <w:ind w:firstLine="480" w:firstLineChars="200"/>
              <w:rPr>
                <w:rFonts w:eastAsia="仿宋"/>
                <w:color w:val="auto"/>
              </w:rPr>
            </w:pPr>
            <w:r>
              <w:rPr>
                <w:rFonts w:eastAsia="仿宋"/>
                <w:color w:val="auto"/>
              </w:rPr>
              <w:t>（3）现场吊装</w:t>
            </w:r>
          </w:p>
          <w:p w14:paraId="26105BEF">
            <w:pPr>
              <w:pStyle w:val="14"/>
              <w:kinsoku w:val="0"/>
              <w:overflowPunct w:val="0"/>
              <w:spacing w:line="500" w:lineRule="exact"/>
              <w:ind w:firstLine="480" w:firstLineChars="200"/>
              <w:rPr>
                <w:rFonts w:eastAsia="仿宋"/>
                <w:color w:val="auto"/>
              </w:rPr>
            </w:pPr>
            <w:r>
              <w:rPr>
                <w:rFonts w:eastAsia="仿宋"/>
                <w:color w:val="auto"/>
              </w:rPr>
              <w:t>用吊车将经过检查的管道、管件等吊到所需安装的高度，并摆放到位。该过程可能有施工机械产生的噪声和机械尾气，同时有少量扬尘产生。</w:t>
            </w:r>
          </w:p>
          <w:p w14:paraId="261B906C">
            <w:pPr>
              <w:pStyle w:val="14"/>
              <w:kinsoku w:val="0"/>
              <w:overflowPunct w:val="0"/>
              <w:spacing w:line="500" w:lineRule="exact"/>
              <w:ind w:firstLine="480" w:firstLineChars="200"/>
              <w:rPr>
                <w:rFonts w:eastAsia="仿宋"/>
                <w:color w:val="auto"/>
              </w:rPr>
            </w:pPr>
            <w:r>
              <w:rPr>
                <w:rFonts w:eastAsia="仿宋"/>
                <w:color w:val="auto"/>
              </w:rPr>
              <w:t>（4）管道焊接、附件安装</w:t>
            </w:r>
          </w:p>
          <w:p w14:paraId="32D4B2A3">
            <w:pPr>
              <w:pStyle w:val="14"/>
              <w:kinsoku w:val="0"/>
              <w:overflowPunct w:val="0"/>
              <w:spacing w:line="500" w:lineRule="exact"/>
              <w:ind w:firstLine="480" w:firstLineChars="200"/>
              <w:rPr>
                <w:rFonts w:eastAsia="仿宋"/>
                <w:color w:val="auto"/>
              </w:rPr>
            </w:pPr>
            <w:r>
              <w:rPr>
                <w:rFonts w:eastAsia="仿宋"/>
                <w:color w:val="auto"/>
              </w:rPr>
              <w:t>管道焊接采用氩电联焊，焊接材料的选择应符合《承压设备用焊接材料订货技术条件》（NB/T 47018-2017）的要求。焊缝按照有关规范进行检验，阀门等附件安装到位并进行检验。管道焊接安装过程产生焊接烟尘及废焊条，焊缝处进行补漆，同时焊接过程产生噪声。</w:t>
            </w:r>
          </w:p>
          <w:p w14:paraId="3966D18E">
            <w:pPr>
              <w:pStyle w:val="14"/>
              <w:kinsoku w:val="0"/>
              <w:overflowPunct w:val="0"/>
              <w:spacing w:line="500" w:lineRule="exact"/>
              <w:ind w:firstLine="480" w:firstLineChars="200"/>
              <w:rPr>
                <w:rFonts w:eastAsia="仿宋"/>
                <w:color w:val="auto"/>
              </w:rPr>
            </w:pPr>
            <w:r>
              <w:rPr>
                <w:rFonts w:eastAsia="仿宋"/>
                <w:color w:val="auto"/>
              </w:rPr>
              <w:t>（5）管道试压和吹扫</w:t>
            </w:r>
          </w:p>
          <w:p w14:paraId="4E7CCCB1">
            <w:pPr>
              <w:pStyle w:val="14"/>
              <w:kinsoku w:val="0"/>
              <w:overflowPunct w:val="0"/>
              <w:spacing w:line="500" w:lineRule="exact"/>
              <w:ind w:firstLine="480" w:firstLineChars="200"/>
              <w:rPr>
                <w:rFonts w:eastAsia="仿宋"/>
                <w:color w:val="auto"/>
              </w:rPr>
            </w:pPr>
            <w:r>
              <w:rPr>
                <w:rFonts w:eastAsia="仿宋"/>
                <w:color w:val="auto"/>
              </w:rPr>
              <w:t>管道试压采用自来水作为试验介质，试验压力为2.2MPa（G）。试压时缓慢升压，达到试验压力后维持4h，再将试验压力降至1.2MPa（G）后维持24小时，以压力不降、无渗漏为合格。管道试压结束后，进行空气吹扫，保证管道内部清洁，空气吹扫时空气流速不得小于20m/s。之后进行气密性检查，检查重点是阀门、法兰等连接处。管道清管试压过程产生清管试压废水。</w:t>
            </w:r>
          </w:p>
          <w:p w14:paraId="3D231EC7">
            <w:pPr>
              <w:pStyle w:val="14"/>
              <w:kinsoku w:val="0"/>
              <w:overflowPunct w:val="0"/>
              <w:spacing w:line="500" w:lineRule="exact"/>
              <w:ind w:firstLine="480" w:firstLineChars="200"/>
              <w:rPr>
                <w:rFonts w:hint="eastAsia" w:ascii="仿宋" w:hAnsi="仿宋" w:eastAsia="仿宋" w:cs="仿宋"/>
                <w:b/>
                <w:bCs/>
                <w:color w:val="auto"/>
                <w:sz w:val="21"/>
                <w:szCs w:val="21"/>
              </w:rPr>
            </w:pPr>
            <w:r>
              <w:rPr>
                <w:rFonts w:eastAsia="仿宋"/>
                <w:color w:val="auto"/>
              </w:rPr>
              <w:t>施工过程中产生少量的污染物，包括：施工扬尘、设备燃油废气、焊接烟尘、喷漆废气、生活污水、清管试压废水、生活垃圾、废焊料以及施工噪声。</w:t>
            </w:r>
          </w:p>
        </w:tc>
      </w:tr>
      <w:tr w14:paraId="7F370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071" w:type="dxa"/>
          </w:tcPr>
          <w:p w14:paraId="3A48E2A7">
            <w:pPr>
              <w:pStyle w:val="14"/>
              <w:kinsoku w:val="0"/>
              <w:overflowPunct w:val="0"/>
              <w:spacing w:line="500" w:lineRule="exact"/>
              <w:rPr>
                <w:rFonts w:hint="eastAsia" w:ascii="仿宋" w:hAnsi="仿宋" w:eastAsia="仿宋" w:cs="仿宋"/>
                <w:b/>
                <w:bCs/>
                <w:color w:val="auto"/>
              </w:rPr>
            </w:pPr>
            <w:r>
              <w:rPr>
                <w:rFonts w:hint="eastAsia" w:ascii="仿宋" w:hAnsi="仿宋" w:eastAsia="仿宋" w:cs="仿宋"/>
                <w:b/>
                <w:bCs/>
                <w:color w:val="auto"/>
              </w:rPr>
              <w:t>工程占地及平面布置</w:t>
            </w:r>
          </w:p>
          <w:p w14:paraId="43DF0C7D">
            <w:pPr>
              <w:pStyle w:val="14"/>
              <w:overflowPunct w:val="0"/>
              <w:adjustRightInd/>
              <w:spacing w:line="500" w:lineRule="exact"/>
              <w:ind w:firstLine="480" w:firstLineChars="200"/>
              <w:jc w:val="both"/>
              <w:rPr>
                <w:rFonts w:hint="eastAsia" w:ascii="仿宋" w:hAnsi="仿宋" w:eastAsia="仿宋" w:cs="仿宋"/>
                <w:color w:val="auto"/>
              </w:rPr>
            </w:pPr>
            <w:r>
              <w:rPr>
                <w:rFonts w:hint="eastAsia" w:ascii="仿宋" w:hAnsi="仿宋" w:eastAsia="仿宋" w:cs="仿宋"/>
                <w:color w:val="auto"/>
              </w:rPr>
              <w:t>本项目新建管线采用架空明敷方式，项目所依托基地内已建成的公共管廊。本项目仅涉及管线施工，不涉及管廊施工，亦不新增用地。本次输送管线管径范围</w:t>
            </w:r>
            <w:r>
              <w:rPr>
                <w:rFonts w:eastAsia="仿宋"/>
                <w:color w:val="auto"/>
              </w:rPr>
              <w:t>在DN</w:t>
            </w:r>
            <w:r>
              <w:rPr>
                <w:rFonts w:hint="eastAsia" w:eastAsia="仿宋"/>
                <w:color w:val="auto"/>
              </w:rPr>
              <w:t>80</w:t>
            </w:r>
            <w:r>
              <w:rPr>
                <w:rFonts w:eastAsia="仿宋"/>
                <w:color w:val="auto"/>
              </w:rPr>
              <w:t>mm~DN</w:t>
            </w:r>
            <w:r>
              <w:rPr>
                <w:rFonts w:hint="eastAsia" w:eastAsia="仿宋"/>
                <w:color w:val="auto"/>
              </w:rPr>
              <w:t>2</w:t>
            </w:r>
            <w:r>
              <w:rPr>
                <w:rFonts w:eastAsia="仿宋"/>
                <w:color w:val="auto"/>
              </w:rPr>
              <w:t>00mm，管廊上</w:t>
            </w:r>
            <w:r>
              <w:rPr>
                <w:rFonts w:hint="eastAsia" w:ascii="仿宋" w:hAnsi="仿宋" w:eastAsia="仿宋" w:cs="仿宋"/>
                <w:color w:val="auto"/>
              </w:rPr>
              <w:t>均有预留</w:t>
            </w:r>
            <w:r>
              <w:rPr>
                <w:rFonts w:eastAsia="仿宋"/>
                <w:color w:val="auto"/>
              </w:rPr>
              <w:t>的</w:t>
            </w:r>
            <w:r>
              <w:rPr>
                <w:rFonts w:hint="eastAsia" w:eastAsia="仿宋"/>
                <w:color w:val="auto"/>
              </w:rPr>
              <w:t>管位</w:t>
            </w:r>
            <w:r>
              <w:rPr>
                <w:rFonts w:eastAsia="仿宋"/>
                <w:color w:val="auto"/>
              </w:rPr>
              <w:t>。</w:t>
            </w:r>
          </w:p>
        </w:tc>
      </w:tr>
      <w:tr w14:paraId="167F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071" w:type="dxa"/>
          </w:tcPr>
          <w:p w14:paraId="64BA2B7C">
            <w:pPr>
              <w:pStyle w:val="14"/>
              <w:keepNext w:val="0"/>
              <w:keepLines w:val="0"/>
              <w:pageBreakBefore w:val="0"/>
              <w:widowControl w:val="0"/>
              <w:kinsoku w:val="0"/>
              <w:wordWrap/>
              <w:overflowPunct w:val="0"/>
              <w:topLinePunct w:val="0"/>
              <w:autoSpaceDE w:val="0"/>
              <w:autoSpaceDN w:val="0"/>
              <w:bidi w:val="0"/>
              <w:adjustRightInd w:val="0"/>
              <w:snapToGrid/>
              <w:spacing w:line="500" w:lineRule="exact"/>
              <w:ind w:left="0"/>
              <w:jc w:val="both"/>
              <w:textAlignment w:val="auto"/>
              <w:rPr>
                <w:rFonts w:eastAsia="仿宋"/>
                <w:b/>
                <w:bCs/>
                <w:color w:val="auto"/>
              </w:rPr>
            </w:pPr>
            <w:r>
              <w:rPr>
                <w:rFonts w:eastAsia="仿宋"/>
                <w:b/>
                <w:bCs/>
                <w:color w:val="auto"/>
              </w:rPr>
              <w:t>工程环境保护投资明细</w:t>
            </w:r>
          </w:p>
          <w:p w14:paraId="3FDD2256">
            <w:pPr>
              <w:pStyle w:val="14"/>
              <w:keepNext w:val="0"/>
              <w:keepLines w:val="0"/>
              <w:pageBreakBefore w:val="0"/>
              <w:widowControl w:val="0"/>
              <w:kinsoku w:val="0"/>
              <w:wordWrap/>
              <w:overflowPunct w:val="0"/>
              <w:topLinePunct w:val="0"/>
              <w:bidi w:val="0"/>
              <w:snapToGrid/>
              <w:spacing w:line="500" w:lineRule="exact"/>
              <w:ind w:left="102" w:firstLine="480" w:firstLineChars="200"/>
              <w:textAlignment w:val="auto"/>
              <w:rPr>
                <w:rFonts w:hint="eastAsia" w:eastAsia="仿宋"/>
                <w:color w:val="auto"/>
                <w:lang w:eastAsia="zh-CN"/>
              </w:rPr>
            </w:pPr>
            <w:r>
              <w:rPr>
                <w:rFonts w:eastAsia="仿宋"/>
                <w:color w:val="auto"/>
              </w:rPr>
              <w:t>本项目建设过程中环保投资</w:t>
            </w:r>
            <w:r>
              <w:rPr>
                <w:rFonts w:hint="eastAsia" w:eastAsia="仿宋"/>
                <w:color w:val="auto"/>
                <w:lang w:val="en-US" w:eastAsia="zh-CN"/>
              </w:rPr>
              <w:t>60</w:t>
            </w:r>
            <w:r>
              <w:rPr>
                <w:rFonts w:eastAsia="仿宋"/>
                <w:color w:val="auto"/>
              </w:rPr>
              <w:t>万元，具体资情况见表</w:t>
            </w:r>
            <w:r>
              <w:rPr>
                <w:rFonts w:hint="eastAsia" w:eastAsia="仿宋"/>
                <w:color w:val="auto"/>
              </w:rPr>
              <w:t>4</w:t>
            </w:r>
            <w:r>
              <w:rPr>
                <w:rFonts w:eastAsia="仿宋"/>
                <w:color w:val="auto"/>
              </w:rPr>
              <w:t>-</w:t>
            </w:r>
            <w:r>
              <w:rPr>
                <w:rFonts w:hint="eastAsia" w:eastAsia="仿宋"/>
                <w:color w:val="auto"/>
                <w:lang w:val="en-US" w:eastAsia="zh-CN"/>
              </w:rPr>
              <w:t>3</w:t>
            </w:r>
            <w:r>
              <w:rPr>
                <w:rFonts w:hint="eastAsia" w:eastAsia="仿宋"/>
                <w:color w:val="auto"/>
                <w:lang w:eastAsia="zh-CN"/>
              </w:rPr>
              <w:t>。</w:t>
            </w:r>
          </w:p>
          <w:p w14:paraId="13CF3C05">
            <w:pPr>
              <w:pStyle w:val="14"/>
              <w:keepNext w:val="0"/>
              <w:keepLines w:val="0"/>
              <w:pageBreakBefore w:val="0"/>
              <w:widowControl w:val="0"/>
              <w:kinsoku w:val="0"/>
              <w:wordWrap/>
              <w:overflowPunct w:val="0"/>
              <w:topLinePunct w:val="0"/>
              <w:bidi w:val="0"/>
              <w:snapToGrid/>
              <w:spacing w:line="500" w:lineRule="exact"/>
              <w:ind w:left="102" w:firstLine="422" w:firstLineChars="200"/>
              <w:jc w:val="center"/>
              <w:textAlignment w:val="auto"/>
              <w:rPr>
                <w:rFonts w:eastAsia="仿宋"/>
                <w:b/>
                <w:color w:val="auto"/>
                <w:kern w:val="2"/>
              </w:rPr>
            </w:pPr>
            <w:r>
              <w:rPr>
                <w:rFonts w:eastAsia="仿宋"/>
                <w:b/>
                <w:color w:val="auto"/>
                <w:kern w:val="2"/>
                <w:sz w:val="21"/>
                <w:szCs w:val="21"/>
              </w:rPr>
              <w:t>表4-</w:t>
            </w:r>
            <w:r>
              <w:rPr>
                <w:rFonts w:hint="eastAsia" w:eastAsia="仿宋"/>
                <w:b/>
                <w:color w:val="auto"/>
                <w:kern w:val="2"/>
                <w:sz w:val="21"/>
                <w:szCs w:val="21"/>
                <w:lang w:val="en-US" w:eastAsia="zh-CN"/>
              </w:rPr>
              <w:t>3</w:t>
            </w:r>
            <w:r>
              <w:rPr>
                <w:rFonts w:eastAsia="仿宋"/>
                <w:b/>
                <w:color w:val="auto"/>
                <w:kern w:val="2"/>
                <w:sz w:val="21"/>
                <w:szCs w:val="21"/>
              </w:rPr>
              <w:t xml:space="preserve">  本项目环保投资情况明细表</w:t>
            </w:r>
          </w:p>
          <w:tbl>
            <w:tblPr>
              <w:tblStyle w:val="8"/>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9"/>
              <w:gridCol w:w="3786"/>
              <w:gridCol w:w="1485"/>
              <w:gridCol w:w="1486"/>
              <w:gridCol w:w="1591"/>
            </w:tblGrid>
            <w:tr w14:paraId="2C859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339" w:type="pct"/>
                  <w:vAlign w:val="center"/>
                </w:tcPr>
                <w:p w14:paraId="52B9EFC7">
                  <w:pPr>
                    <w:snapToGrid w:val="0"/>
                    <w:jc w:val="center"/>
                    <w:rPr>
                      <w:rFonts w:hint="eastAsia" w:ascii="仿宋" w:hAnsi="仿宋" w:eastAsia="仿宋" w:cs="仿宋"/>
                      <w:b/>
                      <w:color w:val="auto"/>
                      <w:sz w:val="21"/>
                      <w:szCs w:val="21"/>
                    </w:rPr>
                  </w:pPr>
                  <w:r>
                    <w:rPr>
                      <w:rFonts w:hint="eastAsia" w:ascii="仿宋" w:hAnsi="仿宋" w:eastAsia="仿宋" w:cs="仿宋"/>
                      <w:b/>
                      <w:color w:val="auto"/>
                      <w:sz w:val="21"/>
                      <w:szCs w:val="21"/>
                    </w:rPr>
                    <w:t>阶段</w:t>
                  </w:r>
                </w:p>
              </w:tc>
              <w:tc>
                <w:tcPr>
                  <w:tcW w:w="2113" w:type="pct"/>
                </w:tcPr>
                <w:p w14:paraId="50F1EC83">
                  <w:pPr>
                    <w:pStyle w:val="16"/>
                    <w:spacing w:before="170" w:line="220" w:lineRule="auto"/>
                    <w:jc w:val="center"/>
                    <w:rPr>
                      <w:rFonts w:hint="eastAsia"/>
                      <w:b/>
                      <w:color w:val="auto"/>
                      <w:sz w:val="21"/>
                      <w:szCs w:val="21"/>
                    </w:rPr>
                  </w:pPr>
                  <w:r>
                    <w:rPr>
                      <w:b/>
                      <w:bCs/>
                      <w:color w:val="auto"/>
                      <w:spacing w:val="-6"/>
                      <w:sz w:val="21"/>
                      <w:szCs w:val="21"/>
                    </w:rPr>
                    <w:t>项目</w:t>
                  </w:r>
                </w:p>
              </w:tc>
              <w:tc>
                <w:tcPr>
                  <w:tcW w:w="828" w:type="pct"/>
                  <w:vAlign w:val="center"/>
                </w:tcPr>
                <w:p w14:paraId="18617566">
                  <w:pPr>
                    <w:pStyle w:val="16"/>
                    <w:spacing w:before="33" w:line="225" w:lineRule="auto"/>
                    <w:ind w:right="172"/>
                    <w:jc w:val="center"/>
                    <w:rPr>
                      <w:rFonts w:hint="eastAsia"/>
                      <w:b/>
                      <w:color w:val="auto"/>
                      <w:sz w:val="21"/>
                      <w:szCs w:val="21"/>
                    </w:rPr>
                  </w:pPr>
                  <w:r>
                    <w:rPr>
                      <w:b/>
                      <w:bCs/>
                      <w:color w:val="auto"/>
                      <w:spacing w:val="-11"/>
                      <w:sz w:val="21"/>
                      <w:szCs w:val="21"/>
                    </w:rPr>
                    <w:t>单价</w:t>
                  </w:r>
                  <w:r>
                    <w:rPr>
                      <w:color w:val="auto"/>
                      <w:sz w:val="21"/>
                      <w:szCs w:val="21"/>
                    </w:rPr>
                    <w:t xml:space="preserve"> </w:t>
                  </w:r>
                  <w:r>
                    <w:rPr>
                      <w:b/>
                      <w:bCs/>
                      <w:color w:val="auto"/>
                      <w:spacing w:val="-9"/>
                      <w:sz w:val="21"/>
                      <w:szCs w:val="21"/>
                    </w:rPr>
                    <w:t>（万元）</w:t>
                  </w:r>
                </w:p>
              </w:tc>
              <w:tc>
                <w:tcPr>
                  <w:tcW w:w="829" w:type="pct"/>
                  <w:vAlign w:val="center"/>
                </w:tcPr>
                <w:p w14:paraId="0601BA3A">
                  <w:pPr>
                    <w:pStyle w:val="16"/>
                    <w:spacing w:before="33" w:line="225" w:lineRule="auto"/>
                    <w:ind w:right="183"/>
                    <w:jc w:val="center"/>
                    <w:rPr>
                      <w:rFonts w:hint="eastAsia"/>
                      <w:b/>
                      <w:color w:val="auto"/>
                      <w:sz w:val="21"/>
                      <w:szCs w:val="21"/>
                    </w:rPr>
                  </w:pPr>
                  <w:r>
                    <w:rPr>
                      <w:b/>
                      <w:bCs/>
                      <w:color w:val="auto"/>
                      <w:spacing w:val="-4"/>
                      <w:sz w:val="21"/>
                      <w:szCs w:val="21"/>
                    </w:rPr>
                    <w:t>数量</w:t>
                  </w:r>
                  <w:r>
                    <w:rPr>
                      <w:rFonts w:hint="eastAsia"/>
                      <w:b/>
                      <w:bCs/>
                      <w:color w:val="auto"/>
                      <w:spacing w:val="-4"/>
                      <w:sz w:val="21"/>
                      <w:szCs w:val="21"/>
                      <w:lang w:eastAsia="zh-CN"/>
                    </w:rPr>
                    <w:t>/</w:t>
                  </w:r>
                  <w:r>
                    <w:rPr>
                      <w:b/>
                      <w:bCs/>
                      <w:color w:val="auto"/>
                      <w:spacing w:val="-5"/>
                      <w:sz w:val="21"/>
                      <w:szCs w:val="21"/>
                    </w:rPr>
                    <w:t>规模</w:t>
                  </w:r>
                </w:p>
              </w:tc>
              <w:tc>
                <w:tcPr>
                  <w:tcW w:w="888" w:type="pct"/>
                  <w:vAlign w:val="center"/>
                </w:tcPr>
                <w:p w14:paraId="5B5F566F">
                  <w:pPr>
                    <w:pStyle w:val="16"/>
                    <w:spacing w:before="33" w:line="225" w:lineRule="auto"/>
                    <w:ind w:right="177"/>
                    <w:jc w:val="center"/>
                    <w:rPr>
                      <w:rFonts w:hint="eastAsia"/>
                      <w:b/>
                      <w:color w:val="auto"/>
                      <w:sz w:val="21"/>
                      <w:szCs w:val="21"/>
                    </w:rPr>
                  </w:pPr>
                  <w:r>
                    <w:rPr>
                      <w:b/>
                      <w:bCs/>
                      <w:color w:val="auto"/>
                      <w:spacing w:val="-8"/>
                      <w:sz w:val="21"/>
                      <w:szCs w:val="21"/>
                    </w:rPr>
                    <w:t>金额</w:t>
                  </w:r>
                  <w:r>
                    <w:rPr>
                      <w:color w:val="auto"/>
                      <w:sz w:val="21"/>
                      <w:szCs w:val="21"/>
                    </w:rPr>
                    <w:t xml:space="preserve"> </w:t>
                  </w:r>
                  <w:r>
                    <w:rPr>
                      <w:b/>
                      <w:bCs/>
                      <w:color w:val="auto"/>
                      <w:spacing w:val="-9"/>
                      <w:sz w:val="21"/>
                      <w:szCs w:val="21"/>
                    </w:rPr>
                    <w:t>（万元）</w:t>
                  </w:r>
                </w:p>
              </w:tc>
            </w:tr>
            <w:tr w14:paraId="0147F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 w:type="pct"/>
                  <w:vMerge w:val="restart"/>
                  <w:vAlign w:val="center"/>
                </w:tcPr>
                <w:p w14:paraId="1572F79F">
                  <w:pPr>
                    <w:snapToGrid w:val="0"/>
                    <w:jc w:val="center"/>
                    <w:rPr>
                      <w:rFonts w:hint="eastAsia" w:ascii="仿宋" w:hAnsi="仿宋" w:eastAsia="仿宋" w:cs="仿宋"/>
                      <w:color w:val="auto"/>
                      <w:sz w:val="21"/>
                      <w:szCs w:val="21"/>
                    </w:rPr>
                  </w:pPr>
                  <w:r>
                    <w:rPr>
                      <w:rFonts w:hint="eastAsia" w:ascii="仿宋" w:hAnsi="仿宋" w:eastAsia="仿宋" w:cs="仿宋"/>
                      <w:color w:val="auto"/>
                      <w:sz w:val="21"/>
                      <w:szCs w:val="21"/>
                    </w:rPr>
                    <w:t>施工期</w:t>
                  </w:r>
                </w:p>
              </w:tc>
              <w:tc>
                <w:tcPr>
                  <w:tcW w:w="2113" w:type="pct"/>
                  <w:vAlign w:val="center"/>
                </w:tcPr>
                <w:p w14:paraId="12AB9673">
                  <w:pPr>
                    <w:pStyle w:val="16"/>
                    <w:spacing w:before="25" w:line="212" w:lineRule="auto"/>
                    <w:jc w:val="center"/>
                    <w:rPr>
                      <w:rFonts w:hint="eastAsia"/>
                      <w:color w:val="auto"/>
                      <w:sz w:val="21"/>
                      <w:szCs w:val="21"/>
                    </w:rPr>
                  </w:pPr>
                  <w:r>
                    <w:rPr>
                      <w:color w:val="auto"/>
                      <w:spacing w:val="-4"/>
                      <w:sz w:val="21"/>
                      <w:szCs w:val="21"/>
                    </w:rPr>
                    <w:t>洒水车</w:t>
                  </w:r>
                </w:p>
              </w:tc>
              <w:tc>
                <w:tcPr>
                  <w:tcW w:w="828" w:type="pct"/>
                  <w:vAlign w:val="center"/>
                </w:tcPr>
                <w:p w14:paraId="211F0BA9">
                  <w:pPr>
                    <w:spacing w:before="59" w:line="187" w:lineRule="auto"/>
                    <w:jc w:val="center"/>
                    <w:rPr>
                      <w:rFonts w:hint="eastAsia" w:ascii="仿宋" w:hAnsi="仿宋" w:eastAsia="仿宋" w:cs="仿宋"/>
                      <w:color w:val="auto"/>
                      <w:sz w:val="21"/>
                      <w:szCs w:val="21"/>
                    </w:rPr>
                  </w:pPr>
                  <w:r>
                    <w:rPr>
                      <w:rFonts w:eastAsia="Times New Roman"/>
                      <w:color w:val="auto"/>
                      <w:spacing w:val="-1"/>
                      <w:sz w:val="21"/>
                      <w:szCs w:val="21"/>
                    </w:rPr>
                    <w:t>20</w:t>
                  </w:r>
                </w:p>
              </w:tc>
              <w:tc>
                <w:tcPr>
                  <w:tcW w:w="829" w:type="pct"/>
                  <w:vAlign w:val="center"/>
                </w:tcPr>
                <w:p w14:paraId="2BD3FB5C">
                  <w:pPr>
                    <w:pStyle w:val="16"/>
                    <w:spacing w:before="25" w:line="212" w:lineRule="auto"/>
                    <w:jc w:val="center"/>
                    <w:rPr>
                      <w:rFonts w:hint="eastAsia"/>
                      <w:color w:val="auto"/>
                      <w:sz w:val="21"/>
                      <w:szCs w:val="21"/>
                    </w:rPr>
                  </w:pPr>
                  <w:r>
                    <w:rPr>
                      <w:rFonts w:ascii="Times New Roman" w:hAnsi="Times New Roman" w:eastAsia="Times New Roman" w:cs="Times New Roman"/>
                      <w:color w:val="auto"/>
                      <w:spacing w:val="-13"/>
                      <w:sz w:val="21"/>
                      <w:szCs w:val="21"/>
                    </w:rPr>
                    <w:t>1</w:t>
                  </w:r>
                  <w:r>
                    <w:rPr>
                      <w:color w:val="auto"/>
                      <w:spacing w:val="-13"/>
                      <w:sz w:val="21"/>
                      <w:szCs w:val="21"/>
                    </w:rPr>
                    <w:t>辆</w:t>
                  </w:r>
                </w:p>
              </w:tc>
              <w:tc>
                <w:tcPr>
                  <w:tcW w:w="888" w:type="pct"/>
                  <w:vAlign w:val="center"/>
                </w:tcPr>
                <w:p w14:paraId="039DB4B1">
                  <w:pPr>
                    <w:spacing w:before="59" w:line="187" w:lineRule="auto"/>
                    <w:jc w:val="center"/>
                    <w:rPr>
                      <w:rFonts w:hint="eastAsia" w:ascii="仿宋" w:hAnsi="仿宋" w:eastAsia="仿宋" w:cs="仿宋"/>
                      <w:color w:val="auto"/>
                      <w:sz w:val="21"/>
                      <w:szCs w:val="21"/>
                    </w:rPr>
                  </w:pPr>
                  <w:r>
                    <w:rPr>
                      <w:rFonts w:eastAsia="Times New Roman"/>
                      <w:color w:val="auto"/>
                      <w:spacing w:val="-1"/>
                      <w:sz w:val="21"/>
                      <w:szCs w:val="21"/>
                    </w:rPr>
                    <w:t>20</w:t>
                  </w:r>
                </w:p>
              </w:tc>
            </w:tr>
            <w:tr w14:paraId="1090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 w:type="pct"/>
                  <w:vMerge w:val="continue"/>
                  <w:vAlign w:val="center"/>
                </w:tcPr>
                <w:p w14:paraId="14DAA9E8">
                  <w:pPr>
                    <w:snapToGrid w:val="0"/>
                    <w:jc w:val="center"/>
                    <w:rPr>
                      <w:rFonts w:hint="eastAsia" w:ascii="仿宋" w:hAnsi="仿宋" w:eastAsia="仿宋" w:cs="仿宋"/>
                      <w:color w:val="auto"/>
                      <w:sz w:val="21"/>
                      <w:szCs w:val="21"/>
                    </w:rPr>
                  </w:pPr>
                </w:p>
              </w:tc>
              <w:tc>
                <w:tcPr>
                  <w:tcW w:w="2113" w:type="pct"/>
                  <w:vAlign w:val="center"/>
                </w:tcPr>
                <w:p w14:paraId="4BFF100E">
                  <w:pPr>
                    <w:pStyle w:val="16"/>
                    <w:spacing w:before="26" w:line="211" w:lineRule="auto"/>
                    <w:jc w:val="center"/>
                    <w:rPr>
                      <w:rFonts w:hint="eastAsia"/>
                      <w:color w:val="auto"/>
                      <w:sz w:val="21"/>
                      <w:szCs w:val="21"/>
                      <w:lang w:eastAsia="zh-CN"/>
                    </w:rPr>
                  </w:pPr>
                  <w:r>
                    <w:rPr>
                      <w:color w:val="auto"/>
                      <w:spacing w:val="-1"/>
                      <w:sz w:val="21"/>
                      <w:szCs w:val="21"/>
                      <w:lang w:eastAsia="zh-CN"/>
                    </w:rPr>
                    <w:t>施工期洒水、道路清扫等扬尘防治费用</w:t>
                  </w:r>
                </w:p>
              </w:tc>
              <w:tc>
                <w:tcPr>
                  <w:tcW w:w="828" w:type="pct"/>
                  <w:vAlign w:val="center"/>
                </w:tcPr>
                <w:p w14:paraId="28AE03E6">
                  <w:pPr>
                    <w:spacing w:before="59" w:line="187" w:lineRule="auto"/>
                    <w:jc w:val="center"/>
                    <w:rPr>
                      <w:rFonts w:hint="eastAsia" w:ascii="仿宋" w:hAnsi="仿宋" w:eastAsia="仿宋" w:cs="仿宋"/>
                      <w:color w:val="auto"/>
                      <w:sz w:val="21"/>
                      <w:szCs w:val="21"/>
                    </w:rPr>
                  </w:pPr>
                  <w:r>
                    <w:rPr>
                      <w:rFonts w:eastAsia="Times New Roman"/>
                      <w:color w:val="auto"/>
                      <w:spacing w:val="-6"/>
                      <w:sz w:val="21"/>
                      <w:szCs w:val="21"/>
                    </w:rPr>
                    <w:t>10</w:t>
                  </w:r>
                </w:p>
              </w:tc>
              <w:tc>
                <w:tcPr>
                  <w:tcW w:w="829" w:type="pct"/>
                  <w:vAlign w:val="center"/>
                </w:tcPr>
                <w:p w14:paraId="36B15B7F">
                  <w:pPr>
                    <w:pStyle w:val="16"/>
                    <w:spacing w:before="26" w:line="211" w:lineRule="auto"/>
                    <w:jc w:val="center"/>
                    <w:rPr>
                      <w:rFonts w:hint="eastAsia"/>
                      <w:color w:val="auto"/>
                      <w:sz w:val="21"/>
                      <w:szCs w:val="21"/>
                    </w:rPr>
                  </w:pPr>
                  <w:r>
                    <w:rPr>
                      <w:rFonts w:ascii="Times New Roman" w:hAnsi="Times New Roman" w:eastAsia="Times New Roman" w:cs="Times New Roman"/>
                      <w:color w:val="auto"/>
                      <w:spacing w:val="-13"/>
                      <w:sz w:val="21"/>
                      <w:szCs w:val="21"/>
                    </w:rPr>
                    <w:t>1</w:t>
                  </w:r>
                  <w:r>
                    <w:rPr>
                      <w:color w:val="auto"/>
                      <w:spacing w:val="-13"/>
                      <w:sz w:val="21"/>
                      <w:szCs w:val="21"/>
                    </w:rPr>
                    <w:t>项</w:t>
                  </w:r>
                </w:p>
              </w:tc>
              <w:tc>
                <w:tcPr>
                  <w:tcW w:w="888" w:type="pct"/>
                  <w:vAlign w:val="center"/>
                </w:tcPr>
                <w:p w14:paraId="66031EB6">
                  <w:pPr>
                    <w:spacing w:before="59" w:line="187" w:lineRule="auto"/>
                    <w:jc w:val="center"/>
                    <w:rPr>
                      <w:rFonts w:hint="eastAsia" w:ascii="仿宋" w:hAnsi="仿宋" w:eastAsia="仿宋" w:cs="仿宋"/>
                      <w:color w:val="auto"/>
                      <w:sz w:val="21"/>
                      <w:szCs w:val="21"/>
                    </w:rPr>
                  </w:pPr>
                  <w:r>
                    <w:rPr>
                      <w:rFonts w:eastAsia="Times New Roman"/>
                      <w:color w:val="auto"/>
                      <w:spacing w:val="-6"/>
                      <w:sz w:val="21"/>
                      <w:szCs w:val="21"/>
                    </w:rPr>
                    <w:t>10</w:t>
                  </w:r>
                </w:p>
              </w:tc>
            </w:tr>
            <w:tr w14:paraId="71C75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 w:type="pct"/>
                  <w:vMerge w:val="continue"/>
                  <w:vAlign w:val="center"/>
                </w:tcPr>
                <w:p w14:paraId="711E4EEF">
                  <w:pPr>
                    <w:snapToGrid w:val="0"/>
                    <w:jc w:val="center"/>
                    <w:rPr>
                      <w:rFonts w:hint="eastAsia" w:ascii="仿宋" w:hAnsi="仿宋" w:eastAsia="仿宋" w:cs="仿宋"/>
                      <w:color w:val="auto"/>
                      <w:sz w:val="21"/>
                      <w:szCs w:val="21"/>
                    </w:rPr>
                  </w:pPr>
                </w:p>
              </w:tc>
              <w:tc>
                <w:tcPr>
                  <w:tcW w:w="2113" w:type="pct"/>
                  <w:vAlign w:val="center"/>
                </w:tcPr>
                <w:p w14:paraId="3A563699">
                  <w:pPr>
                    <w:pStyle w:val="16"/>
                    <w:spacing w:before="26" w:line="211" w:lineRule="auto"/>
                    <w:jc w:val="center"/>
                    <w:rPr>
                      <w:rFonts w:hint="eastAsia"/>
                      <w:color w:val="auto"/>
                      <w:sz w:val="21"/>
                      <w:szCs w:val="21"/>
                    </w:rPr>
                  </w:pPr>
                  <w:r>
                    <w:rPr>
                      <w:color w:val="auto"/>
                      <w:spacing w:val="-5"/>
                      <w:sz w:val="21"/>
                      <w:szCs w:val="21"/>
                    </w:rPr>
                    <w:t>噪声防治</w:t>
                  </w:r>
                </w:p>
              </w:tc>
              <w:tc>
                <w:tcPr>
                  <w:tcW w:w="828" w:type="pct"/>
                  <w:vAlign w:val="center"/>
                </w:tcPr>
                <w:p w14:paraId="6AF4CF3F">
                  <w:pPr>
                    <w:spacing w:before="60" w:line="187" w:lineRule="auto"/>
                    <w:jc w:val="center"/>
                    <w:rPr>
                      <w:rFonts w:hint="eastAsia" w:ascii="仿宋" w:hAnsi="仿宋" w:cs="仿宋"/>
                      <w:color w:val="auto"/>
                      <w:sz w:val="21"/>
                      <w:szCs w:val="21"/>
                    </w:rPr>
                  </w:pPr>
                  <w:r>
                    <w:rPr>
                      <w:rFonts w:hint="eastAsia"/>
                      <w:color w:val="auto"/>
                      <w:spacing w:val="-1"/>
                      <w:sz w:val="21"/>
                      <w:szCs w:val="21"/>
                    </w:rPr>
                    <w:t>5</w:t>
                  </w:r>
                </w:p>
              </w:tc>
              <w:tc>
                <w:tcPr>
                  <w:tcW w:w="829" w:type="pct"/>
                  <w:vAlign w:val="center"/>
                </w:tcPr>
                <w:p w14:paraId="37DCFF19">
                  <w:pPr>
                    <w:pStyle w:val="16"/>
                    <w:spacing w:before="26" w:line="211" w:lineRule="auto"/>
                    <w:jc w:val="center"/>
                    <w:rPr>
                      <w:rFonts w:hint="eastAsia"/>
                      <w:color w:val="auto"/>
                      <w:sz w:val="21"/>
                      <w:szCs w:val="21"/>
                    </w:rPr>
                  </w:pPr>
                  <w:r>
                    <w:rPr>
                      <w:rFonts w:ascii="Times New Roman" w:hAnsi="Times New Roman" w:eastAsia="Times New Roman" w:cs="Times New Roman"/>
                      <w:color w:val="auto"/>
                      <w:spacing w:val="-13"/>
                      <w:sz w:val="21"/>
                      <w:szCs w:val="21"/>
                    </w:rPr>
                    <w:t>1</w:t>
                  </w:r>
                  <w:r>
                    <w:rPr>
                      <w:color w:val="auto"/>
                      <w:spacing w:val="-13"/>
                      <w:sz w:val="21"/>
                      <w:szCs w:val="21"/>
                    </w:rPr>
                    <w:t>项</w:t>
                  </w:r>
                </w:p>
              </w:tc>
              <w:tc>
                <w:tcPr>
                  <w:tcW w:w="888" w:type="pct"/>
                  <w:vAlign w:val="center"/>
                </w:tcPr>
                <w:p w14:paraId="39C10A54">
                  <w:pPr>
                    <w:spacing w:before="60" w:line="187" w:lineRule="auto"/>
                    <w:jc w:val="center"/>
                    <w:rPr>
                      <w:rFonts w:hint="eastAsia" w:ascii="仿宋" w:hAnsi="仿宋" w:cs="仿宋"/>
                      <w:color w:val="auto"/>
                      <w:sz w:val="21"/>
                      <w:szCs w:val="21"/>
                    </w:rPr>
                  </w:pPr>
                  <w:r>
                    <w:rPr>
                      <w:rFonts w:hint="eastAsia"/>
                      <w:color w:val="auto"/>
                      <w:spacing w:val="-1"/>
                      <w:sz w:val="21"/>
                      <w:szCs w:val="21"/>
                    </w:rPr>
                    <w:t>5</w:t>
                  </w:r>
                </w:p>
              </w:tc>
            </w:tr>
            <w:tr w14:paraId="154DC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 w:type="pct"/>
                  <w:vMerge w:val="continue"/>
                  <w:vAlign w:val="center"/>
                </w:tcPr>
                <w:p w14:paraId="1BEEB9AC">
                  <w:pPr>
                    <w:snapToGrid w:val="0"/>
                    <w:jc w:val="center"/>
                    <w:rPr>
                      <w:rFonts w:hint="eastAsia" w:ascii="仿宋" w:hAnsi="仿宋" w:eastAsia="仿宋" w:cs="仿宋"/>
                      <w:color w:val="auto"/>
                      <w:sz w:val="21"/>
                      <w:szCs w:val="21"/>
                    </w:rPr>
                  </w:pPr>
                </w:p>
              </w:tc>
              <w:tc>
                <w:tcPr>
                  <w:tcW w:w="2113" w:type="pct"/>
                  <w:vAlign w:val="center"/>
                </w:tcPr>
                <w:p w14:paraId="5B447361">
                  <w:pPr>
                    <w:pStyle w:val="16"/>
                    <w:spacing w:before="27" w:line="210" w:lineRule="auto"/>
                    <w:jc w:val="center"/>
                    <w:rPr>
                      <w:rFonts w:hint="eastAsia"/>
                      <w:color w:val="auto"/>
                      <w:sz w:val="21"/>
                      <w:szCs w:val="21"/>
                      <w:lang w:eastAsia="zh-CN"/>
                    </w:rPr>
                  </w:pPr>
                  <w:r>
                    <w:rPr>
                      <w:color w:val="auto"/>
                      <w:spacing w:val="-1"/>
                      <w:sz w:val="21"/>
                      <w:szCs w:val="21"/>
                      <w:lang w:eastAsia="zh-CN"/>
                    </w:rPr>
                    <w:t>施工期施工垃圾清理、垃圾处置费用</w:t>
                  </w:r>
                </w:p>
              </w:tc>
              <w:tc>
                <w:tcPr>
                  <w:tcW w:w="828" w:type="pct"/>
                  <w:vAlign w:val="center"/>
                </w:tcPr>
                <w:p w14:paraId="2D3708B6">
                  <w:pPr>
                    <w:spacing w:before="58" w:line="187" w:lineRule="auto"/>
                    <w:jc w:val="center"/>
                    <w:rPr>
                      <w:rFonts w:hint="eastAsia" w:ascii="仿宋" w:hAnsi="仿宋" w:cs="仿宋"/>
                      <w:color w:val="auto"/>
                      <w:sz w:val="21"/>
                      <w:szCs w:val="21"/>
                    </w:rPr>
                  </w:pPr>
                  <w:r>
                    <w:rPr>
                      <w:rFonts w:hint="eastAsia"/>
                      <w:color w:val="auto"/>
                      <w:spacing w:val="-6"/>
                      <w:sz w:val="21"/>
                      <w:szCs w:val="21"/>
                    </w:rPr>
                    <w:t>8</w:t>
                  </w:r>
                </w:p>
              </w:tc>
              <w:tc>
                <w:tcPr>
                  <w:tcW w:w="829" w:type="pct"/>
                  <w:vAlign w:val="center"/>
                </w:tcPr>
                <w:p w14:paraId="4E62DA70">
                  <w:pPr>
                    <w:pStyle w:val="16"/>
                    <w:spacing w:before="27" w:line="210" w:lineRule="auto"/>
                    <w:jc w:val="center"/>
                    <w:rPr>
                      <w:rFonts w:hint="eastAsia"/>
                      <w:color w:val="auto"/>
                      <w:sz w:val="21"/>
                      <w:szCs w:val="21"/>
                    </w:rPr>
                  </w:pPr>
                  <w:r>
                    <w:rPr>
                      <w:rFonts w:ascii="Times New Roman" w:hAnsi="Times New Roman" w:eastAsia="Times New Roman" w:cs="Times New Roman"/>
                      <w:color w:val="auto"/>
                      <w:spacing w:val="-13"/>
                      <w:sz w:val="21"/>
                      <w:szCs w:val="21"/>
                    </w:rPr>
                    <w:t>1</w:t>
                  </w:r>
                  <w:r>
                    <w:rPr>
                      <w:color w:val="auto"/>
                      <w:spacing w:val="-13"/>
                      <w:sz w:val="21"/>
                      <w:szCs w:val="21"/>
                    </w:rPr>
                    <w:t>项</w:t>
                  </w:r>
                </w:p>
              </w:tc>
              <w:tc>
                <w:tcPr>
                  <w:tcW w:w="888" w:type="pct"/>
                  <w:vAlign w:val="center"/>
                </w:tcPr>
                <w:p w14:paraId="3FDA57B4">
                  <w:pPr>
                    <w:spacing w:before="58" w:line="187" w:lineRule="auto"/>
                    <w:jc w:val="center"/>
                    <w:rPr>
                      <w:rFonts w:hint="eastAsia" w:ascii="仿宋" w:hAnsi="仿宋" w:cs="仿宋"/>
                      <w:color w:val="auto"/>
                      <w:sz w:val="21"/>
                      <w:szCs w:val="21"/>
                    </w:rPr>
                  </w:pPr>
                  <w:r>
                    <w:rPr>
                      <w:rFonts w:hint="eastAsia"/>
                      <w:color w:val="auto"/>
                      <w:spacing w:val="-6"/>
                      <w:sz w:val="21"/>
                      <w:szCs w:val="21"/>
                    </w:rPr>
                    <w:t>8</w:t>
                  </w:r>
                </w:p>
              </w:tc>
            </w:tr>
            <w:tr w14:paraId="42602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 w:type="pct"/>
                  <w:vMerge w:val="continue"/>
                  <w:vAlign w:val="center"/>
                </w:tcPr>
                <w:p w14:paraId="5D916808">
                  <w:pPr>
                    <w:snapToGrid w:val="0"/>
                    <w:jc w:val="center"/>
                    <w:rPr>
                      <w:rFonts w:hint="eastAsia" w:ascii="仿宋" w:hAnsi="仿宋" w:eastAsia="仿宋" w:cs="仿宋"/>
                      <w:color w:val="auto"/>
                      <w:sz w:val="21"/>
                      <w:szCs w:val="21"/>
                    </w:rPr>
                  </w:pPr>
                </w:p>
              </w:tc>
              <w:tc>
                <w:tcPr>
                  <w:tcW w:w="2113" w:type="pct"/>
                  <w:vAlign w:val="center"/>
                </w:tcPr>
                <w:p w14:paraId="2F21CA38">
                  <w:pPr>
                    <w:pStyle w:val="16"/>
                    <w:spacing w:before="26" w:line="211" w:lineRule="auto"/>
                    <w:jc w:val="center"/>
                    <w:rPr>
                      <w:rFonts w:hint="eastAsia"/>
                      <w:color w:val="auto"/>
                      <w:sz w:val="21"/>
                      <w:szCs w:val="21"/>
                    </w:rPr>
                  </w:pPr>
                  <w:r>
                    <w:rPr>
                      <w:color w:val="auto"/>
                      <w:spacing w:val="-3"/>
                      <w:sz w:val="21"/>
                      <w:szCs w:val="21"/>
                    </w:rPr>
                    <w:t>危废处置费用</w:t>
                  </w:r>
                </w:p>
              </w:tc>
              <w:tc>
                <w:tcPr>
                  <w:tcW w:w="828" w:type="pct"/>
                  <w:vAlign w:val="center"/>
                </w:tcPr>
                <w:p w14:paraId="5E1342CA">
                  <w:pPr>
                    <w:spacing w:before="60" w:line="187" w:lineRule="auto"/>
                    <w:jc w:val="center"/>
                    <w:rPr>
                      <w:rFonts w:hint="eastAsia" w:ascii="仿宋" w:hAnsi="仿宋" w:eastAsia="仿宋" w:cs="仿宋"/>
                      <w:color w:val="auto"/>
                      <w:sz w:val="21"/>
                      <w:szCs w:val="21"/>
                    </w:rPr>
                  </w:pPr>
                  <w:r>
                    <w:rPr>
                      <w:rFonts w:eastAsia="Times New Roman"/>
                      <w:color w:val="auto"/>
                      <w:spacing w:val="-2"/>
                      <w:sz w:val="21"/>
                      <w:szCs w:val="21"/>
                    </w:rPr>
                    <w:t>0.5</w:t>
                  </w:r>
                </w:p>
              </w:tc>
              <w:tc>
                <w:tcPr>
                  <w:tcW w:w="829" w:type="pct"/>
                  <w:vAlign w:val="center"/>
                </w:tcPr>
                <w:p w14:paraId="708006B5">
                  <w:pPr>
                    <w:pStyle w:val="16"/>
                    <w:spacing w:before="26" w:line="211" w:lineRule="auto"/>
                    <w:jc w:val="center"/>
                    <w:rPr>
                      <w:rFonts w:hint="eastAsia"/>
                      <w:color w:val="auto"/>
                      <w:sz w:val="21"/>
                      <w:szCs w:val="21"/>
                    </w:rPr>
                  </w:pPr>
                  <w:r>
                    <w:rPr>
                      <w:rFonts w:ascii="Times New Roman" w:hAnsi="Times New Roman" w:eastAsia="Times New Roman" w:cs="Times New Roman"/>
                      <w:color w:val="auto"/>
                      <w:spacing w:val="-2"/>
                      <w:sz w:val="21"/>
                      <w:szCs w:val="21"/>
                    </w:rPr>
                    <w:t>4</w:t>
                  </w:r>
                  <w:r>
                    <w:rPr>
                      <w:color w:val="auto"/>
                      <w:spacing w:val="-2"/>
                      <w:sz w:val="21"/>
                      <w:szCs w:val="21"/>
                    </w:rPr>
                    <w:t>吨</w:t>
                  </w:r>
                </w:p>
              </w:tc>
              <w:tc>
                <w:tcPr>
                  <w:tcW w:w="888" w:type="pct"/>
                  <w:vAlign w:val="center"/>
                </w:tcPr>
                <w:p w14:paraId="4F5374E4">
                  <w:pPr>
                    <w:spacing w:before="60" w:line="187" w:lineRule="auto"/>
                    <w:jc w:val="center"/>
                    <w:rPr>
                      <w:rFonts w:hint="eastAsia" w:ascii="仿宋" w:hAnsi="仿宋" w:cs="仿宋"/>
                      <w:color w:val="auto"/>
                      <w:sz w:val="21"/>
                      <w:szCs w:val="21"/>
                    </w:rPr>
                  </w:pPr>
                  <w:r>
                    <w:rPr>
                      <w:rFonts w:eastAsia="Times New Roman"/>
                      <w:color w:val="auto"/>
                      <w:spacing w:val="-1"/>
                      <w:sz w:val="21"/>
                      <w:szCs w:val="21"/>
                    </w:rPr>
                    <w:t>2</w:t>
                  </w:r>
                </w:p>
              </w:tc>
            </w:tr>
            <w:tr w14:paraId="06C17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 w:type="pct"/>
                  <w:vMerge w:val="restart"/>
                  <w:vAlign w:val="center"/>
                </w:tcPr>
                <w:p w14:paraId="2BF0F852">
                  <w:pPr>
                    <w:snapToGrid w:val="0"/>
                    <w:jc w:val="center"/>
                    <w:rPr>
                      <w:rFonts w:hint="eastAsia" w:ascii="仿宋" w:hAnsi="仿宋" w:eastAsia="仿宋" w:cs="仿宋"/>
                      <w:color w:val="auto"/>
                      <w:sz w:val="21"/>
                      <w:szCs w:val="21"/>
                    </w:rPr>
                  </w:pPr>
                  <w:r>
                    <w:rPr>
                      <w:rFonts w:hint="eastAsia" w:ascii="仿宋" w:hAnsi="仿宋" w:eastAsia="仿宋" w:cs="仿宋"/>
                      <w:color w:val="auto"/>
                      <w:sz w:val="21"/>
                      <w:szCs w:val="21"/>
                    </w:rPr>
                    <w:t>运营期</w:t>
                  </w:r>
                </w:p>
              </w:tc>
              <w:tc>
                <w:tcPr>
                  <w:tcW w:w="2113" w:type="pct"/>
                  <w:vAlign w:val="center"/>
                </w:tcPr>
                <w:p w14:paraId="2BF3D499">
                  <w:pPr>
                    <w:pStyle w:val="16"/>
                    <w:spacing w:before="26" w:line="211" w:lineRule="auto"/>
                    <w:jc w:val="center"/>
                    <w:rPr>
                      <w:color w:val="auto"/>
                      <w:spacing w:val="-3"/>
                      <w:sz w:val="21"/>
                      <w:szCs w:val="21"/>
                      <w:lang w:eastAsia="zh-CN"/>
                    </w:rPr>
                  </w:pPr>
                  <w:r>
                    <w:rPr>
                      <w:rFonts w:hint="eastAsia"/>
                      <w:color w:val="auto"/>
                      <w:spacing w:val="-3"/>
                      <w:sz w:val="21"/>
                      <w:szCs w:val="21"/>
                      <w:lang w:eastAsia="zh-CN"/>
                    </w:rPr>
                    <w:t>环境保护专业培训规章制度、档案、监测档案等</w:t>
                  </w:r>
                </w:p>
              </w:tc>
              <w:tc>
                <w:tcPr>
                  <w:tcW w:w="828" w:type="pct"/>
                  <w:vAlign w:val="center"/>
                </w:tcPr>
                <w:p w14:paraId="24637AEF">
                  <w:pPr>
                    <w:spacing w:before="60" w:line="187" w:lineRule="auto"/>
                    <w:jc w:val="center"/>
                    <w:rPr>
                      <w:rFonts w:hint="eastAsia"/>
                      <w:color w:val="auto"/>
                      <w:spacing w:val="-2"/>
                      <w:sz w:val="21"/>
                      <w:szCs w:val="21"/>
                    </w:rPr>
                  </w:pPr>
                  <w:r>
                    <w:rPr>
                      <w:rFonts w:hint="eastAsia"/>
                      <w:color w:val="auto"/>
                      <w:spacing w:val="-2"/>
                      <w:sz w:val="21"/>
                      <w:szCs w:val="21"/>
                    </w:rPr>
                    <w:t>10</w:t>
                  </w:r>
                </w:p>
              </w:tc>
              <w:tc>
                <w:tcPr>
                  <w:tcW w:w="829" w:type="pct"/>
                  <w:vAlign w:val="center"/>
                </w:tcPr>
                <w:p w14:paraId="2E5E8065">
                  <w:pPr>
                    <w:pStyle w:val="16"/>
                    <w:spacing w:before="27" w:line="210" w:lineRule="auto"/>
                    <w:jc w:val="center"/>
                    <w:rPr>
                      <w:rFonts w:hint="eastAsia"/>
                      <w:color w:val="auto"/>
                      <w:sz w:val="21"/>
                      <w:szCs w:val="21"/>
                    </w:rPr>
                  </w:pPr>
                  <w:r>
                    <w:rPr>
                      <w:rFonts w:ascii="Times New Roman" w:hAnsi="Times New Roman" w:eastAsia="Times New Roman" w:cs="Times New Roman"/>
                      <w:color w:val="auto"/>
                      <w:spacing w:val="-13"/>
                      <w:sz w:val="21"/>
                      <w:szCs w:val="21"/>
                    </w:rPr>
                    <w:t>1</w:t>
                  </w:r>
                  <w:r>
                    <w:rPr>
                      <w:color w:val="auto"/>
                      <w:spacing w:val="-13"/>
                      <w:sz w:val="21"/>
                      <w:szCs w:val="21"/>
                    </w:rPr>
                    <w:t>项</w:t>
                  </w:r>
                </w:p>
              </w:tc>
              <w:tc>
                <w:tcPr>
                  <w:tcW w:w="888" w:type="pct"/>
                  <w:vAlign w:val="center"/>
                </w:tcPr>
                <w:p w14:paraId="675F4026">
                  <w:pPr>
                    <w:spacing w:before="60" w:line="187" w:lineRule="auto"/>
                    <w:jc w:val="center"/>
                    <w:rPr>
                      <w:rFonts w:hint="eastAsia"/>
                      <w:color w:val="auto"/>
                      <w:spacing w:val="-1"/>
                      <w:sz w:val="21"/>
                      <w:szCs w:val="21"/>
                    </w:rPr>
                  </w:pPr>
                  <w:r>
                    <w:rPr>
                      <w:rFonts w:hint="eastAsia"/>
                      <w:color w:val="auto"/>
                      <w:spacing w:val="-1"/>
                      <w:sz w:val="21"/>
                      <w:szCs w:val="21"/>
                    </w:rPr>
                    <w:t>10</w:t>
                  </w:r>
                </w:p>
              </w:tc>
            </w:tr>
            <w:tr w14:paraId="3A89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 w:type="pct"/>
                  <w:vMerge w:val="continue"/>
                  <w:vAlign w:val="center"/>
                </w:tcPr>
                <w:p w14:paraId="31379227">
                  <w:pPr>
                    <w:snapToGrid w:val="0"/>
                    <w:jc w:val="center"/>
                    <w:rPr>
                      <w:rFonts w:hint="eastAsia" w:ascii="仿宋" w:hAnsi="仿宋" w:eastAsia="仿宋" w:cs="仿宋"/>
                      <w:color w:val="auto"/>
                      <w:sz w:val="21"/>
                      <w:szCs w:val="21"/>
                    </w:rPr>
                  </w:pPr>
                </w:p>
              </w:tc>
              <w:tc>
                <w:tcPr>
                  <w:tcW w:w="2113" w:type="pct"/>
                  <w:vAlign w:val="center"/>
                </w:tcPr>
                <w:p w14:paraId="573A9771">
                  <w:pPr>
                    <w:pStyle w:val="16"/>
                    <w:spacing w:before="26" w:line="211" w:lineRule="auto"/>
                    <w:jc w:val="center"/>
                    <w:rPr>
                      <w:color w:val="auto"/>
                      <w:spacing w:val="-3"/>
                      <w:sz w:val="21"/>
                      <w:szCs w:val="21"/>
                      <w:lang w:eastAsia="zh-CN"/>
                    </w:rPr>
                  </w:pPr>
                  <w:r>
                    <w:rPr>
                      <w:rFonts w:hint="eastAsia"/>
                      <w:color w:val="auto"/>
                      <w:spacing w:val="-3"/>
                      <w:sz w:val="21"/>
                      <w:szCs w:val="21"/>
                      <w:lang w:eastAsia="zh-CN"/>
                    </w:rPr>
                    <w:t>风险防范应急设备见表风险专项</w:t>
                  </w:r>
                </w:p>
              </w:tc>
              <w:tc>
                <w:tcPr>
                  <w:tcW w:w="828" w:type="pct"/>
                  <w:vAlign w:val="center"/>
                </w:tcPr>
                <w:p w14:paraId="2D172637">
                  <w:pPr>
                    <w:spacing w:before="60" w:line="187" w:lineRule="auto"/>
                    <w:jc w:val="center"/>
                    <w:rPr>
                      <w:rFonts w:hint="eastAsia"/>
                      <w:color w:val="auto"/>
                      <w:spacing w:val="-2"/>
                      <w:sz w:val="21"/>
                      <w:szCs w:val="21"/>
                    </w:rPr>
                  </w:pPr>
                  <w:r>
                    <w:rPr>
                      <w:rFonts w:hint="eastAsia"/>
                      <w:color w:val="auto"/>
                      <w:spacing w:val="-2"/>
                      <w:sz w:val="21"/>
                      <w:szCs w:val="21"/>
                    </w:rPr>
                    <w:t>5</w:t>
                  </w:r>
                </w:p>
              </w:tc>
              <w:tc>
                <w:tcPr>
                  <w:tcW w:w="829" w:type="pct"/>
                  <w:vAlign w:val="center"/>
                </w:tcPr>
                <w:p w14:paraId="27A8839D">
                  <w:pPr>
                    <w:pStyle w:val="16"/>
                    <w:spacing w:before="26" w:line="211" w:lineRule="auto"/>
                    <w:jc w:val="center"/>
                    <w:rPr>
                      <w:rFonts w:ascii="Times New Roman" w:hAnsi="Times New Roman" w:eastAsia="Times New Roman" w:cs="Times New Roman"/>
                      <w:color w:val="auto"/>
                      <w:spacing w:val="-2"/>
                      <w:sz w:val="21"/>
                      <w:szCs w:val="21"/>
                      <w:lang w:eastAsia="zh-CN"/>
                    </w:rPr>
                  </w:pPr>
                  <w:r>
                    <w:rPr>
                      <w:rFonts w:ascii="Times New Roman" w:hAnsi="Times New Roman" w:eastAsia="Times New Roman" w:cs="Times New Roman"/>
                      <w:color w:val="auto"/>
                      <w:spacing w:val="-13"/>
                      <w:sz w:val="21"/>
                      <w:szCs w:val="21"/>
                    </w:rPr>
                    <w:t>1</w:t>
                  </w:r>
                  <w:r>
                    <w:rPr>
                      <w:color w:val="auto"/>
                      <w:spacing w:val="-13"/>
                      <w:sz w:val="21"/>
                      <w:szCs w:val="21"/>
                    </w:rPr>
                    <w:t>项</w:t>
                  </w:r>
                </w:p>
              </w:tc>
              <w:tc>
                <w:tcPr>
                  <w:tcW w:w="888" w:type="pct"/>
                  <w:vAlign w:val="center"/>
                </w:tcPr>
                <w:p w14:paraId="1F0C6E52">
                  <w:pPr>
                    <w:spacing w:before="60" w:line="187" w:lineRule="auto"/>
                    <w:jc w:val="center"/>
                    <w:rPr>
                      <w:rFonts w:hint="eastAsia"/>
                      <w:color w:val="auto"/>
                      <w:spacing w:val="-1"/>
                      <w:sz w:val="21"/>
                      <w:szCs w:val="21"/>
                    </w:rPr>
                  </w:pPr>
                  <w:r>
                    <w:rPr>
                      <w:rFonts w:hint="eastAsia"/>
                      <w:color w:val="auto"/>
                      <w:spacing w:val="-1"/>
                      <w:sz w:val="21"/>
                      <w:szCs w:val="21"/>
                    </w:rPr>
                    <w:t>5</w:t>
                  </w:r>
                </w:p>
              </w:tc>
            </w:tr>
            <w:tr w14:paraId="5239D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1" w:type="pct"/>
                  <w:gridSpan w:val="4"/>
                  <w:vAlign w:val="center"/>
                </w:tcPr>
                <w:p w14:paraId="4E723229">
                  <w:pPr>
                    <w:snapToGrid w:val="0"/>
                    <w:jc w:val="center"/>
                    <w:rPr>
                      <w:rFonts w:hint="eastAsia" w:ascii="仿宋" w:hAnsi="仿宋" w:eastAsia="仿宋" w:cs="仿宋"/>
                      <w:color w:val="auto"/>
                      <w:sz w:val="21"/>
                      <w:szCs w:val="21"/>
                    </w:rPr>
                  </w:pPr>
                  <w:r>
                    <w:rPr>
                      <w:rFonts w:hint="eastAsia" w:ascii="仿宋" w:hAnsi="仿宋" w:eastAsia="仿宋" w:cs="仿宋"/>
                      <w:color w:val="auto"/>
                      <w:sz w:val="21"/>
                      <w:szCs w:val="21"/>
                    </w:rPr>
                    <w:t>合计</w:t>
                  </w:r>
                </w:p>
              </w:tc>
              <w:tc>
                <w:tcPr>
                  <w:tcW w:w="888" w:type="pct"/>
                  <w:vAlign w:val="center"/>
                </w:tcPr>
                <w:p w14:paraId="3E7B1956">
                  <w:pPr>
                    <w:snapToGrid w:val="0"/>
                    <w:jc w:val="center"/>
                    <w:rPr>
                      <w:rFonts w:hint="eastAsia" w:ascii="仿宋" w:hAnsi="仿宋" w:eastAsia="仿宋" w:cs="仿宋"/>
                      <w:color w:val="auto"/>
                      <w:sz w:val="21"/>
                      <w:szCs w:val="21"/>
                    </w:rPr>
                  </w:pPr>
                  <w:r>
                    <w:rPr>
                      <w:rFonts w:hint="eastAsia" w:eastAsia="仿宋"/>
                      <w:color w:val="auto"/>
                      <w:sz w:val="21"/>
                      <w:szCs w:val="21"/>
                    </w:rPr>
                    <w:t>60</w:t>
                  </w:r>
                </w:p>
              </w:tc>
            </w:tr>
          </w:tbl>
          <w:p w14:paraId="5DAA6CD7">
            <w:pPr>
              <w:pStyle w:val="14"/>
              <w:kinsoku w:val="0"/>
              <w:overflowPunct w:val="0"/>
              <w:jc w:val="center"/>
              <w:rPr>
                <w:rFonts w:hint="eastAsia" w:ascii="仿宋" w:hAnsi="仿宋" w:eastAsia="仿宋" w:cs="仿宋"/>
                <w:color w:val="auto"/>
              </w:rPr>
            </w:pPr>
          </w:p>
        </w:tc>
      </w:tr>
      <w:tr w14:paraId="3038D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 w:hRule="atLeast"/>
          <w:jc w:val="center"/>
        </w:trPr>
        <w:tc>
          <w:tcPr>
            <w:tcW w:w="9071" w:type="dxa"/>
          </w:tcPr>
          <w:p w14:paraId="49824C3B">
            <w:pPr>
              <w:pStyle w:val="14"/>
              <w:keepNext w:val="0"/>
              <w:keepLines w:val="0"/>
              <w:pageBreakBefore w:val="0"/>
              <w:widowControl w:val="0"/>
              <w:kinsoku w:val="0"/>
              <w:wordWrap/>
              <w:overflowPunct w:val="0"/>
              <w:topLinePunct w:val="0"/>
              <w:autoSpaceDE w:val="0"/>
              <w:autoSpaceDN w:val="0"/>
              <w:bidi w:val="0"/>
              <w:adjustRightInd w:val="0"/>
              <w:snapToGrid/>
              <w:spacing w:line="500" w:lineRule="exact"/>
              <w:ind w:left="0" w:firstLine="0" w:firstLineChars="0"/>
              <w:textAlignment w:val="auto"/>
              <w:rPr>
                <w:rFonts w:hint="eastAsia" w:ascii="仿宋" w:hAnsi="仿宋" w:eastAsia="仿宋" w:cs="仿宋"/>
                <w:b/>
                <w:bCs/>
                <w:color w:val="auto"/>
              </w:rPr>
            </w:pPr>
            <w:r>
              <w:rPr>
                <w:rFonts w:hint="eastAsia" w:ascii="仿宋" w:hAnsi="仿宋" w:eastAsia="仿宋" w:cs="仿宋"/>
                <w:b/>
                <w:bCs/>
                <w:color w:val="auto"/>
              </w:rPr>
              <w:t>与项目有关的生态破坏和污染物排放、主要环境问题及环境保护措施</w:t>
            </w:r>
          </w:p>
          <w:p w14:paraId="5025BF1F">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left="0" w:firstLine="482" w:firstLineChars="200"/>
              <w:jc w:val="both"/>
              <w:textAlignment w:val="auto"/>
              <w:rPr>
                <w:rFonts w:eastAsia="仿宋"/>
                <w:b/>
                <w:bCs/>
                <w:color w:val="auto"/>
              </w:rPr>
            </w:pPr>
            <w:r>
              <w:rPr>
                <w:rFonts w:eastAsia="仿宋"/>
                <w:b/>
                <w:bCs/>
                <w:color w:val="auto"/>
              </w:rPr>
              <w:t>一、主要环境问题</w:t>
            </w:r>
          </w:p>
          <w:p w14:paraId="542CD313">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left="0" w:firstLine="482" w:firstLineChars="200"/>
              <w:jc w:val="both"/>
              <w:textAlignment w:val="auto"/>
              <w:rPr>
                <w:rFonts w:eastAsia="仿宋"/>
                <w:b/>
                <w:bCs/>
                <w:color w:val="auto"/>
              </w:rPr>
            </w:pPr>
            <w:r>
              <w:rPr>
                <w:rFonts w:eastAsia="仿宋"/>
                <w:b/>
                <w:bCs/>
                <w:color w:val="auto"/>
              </w:rPr>
              <w:t>1、施工期环境问题</w:t>
            </w:r>
          </w:p>
          <w:p w14:paraId="00E8C5D4">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left="0" w:firstLine="480" w:firstLineChars="200"/>
              <w:jc w:val="both"/>
              <w:textAlignment w:val="auto"/>
              <w:rPr>
                <w:rFonts w:eastAsia="仿宋"/>
                <w:color w:val="auto"/>
              </w:rPr>
            </w:pPr>
            <w:r>
              <w:rPr>
                <w:rFonts w:eastAsia="仿宋"/>
                <w:color w:val="auto"/>
              </w:rPr>
              <w:t>管输项目在施工期对环境的影响主要有施工废气、施工废水、施工噪声、固体废弃物等对生态环境产生的影响。</w:t>
            </w:r>
          </w:p>
          <w:p w14:paraId="5FAB6567">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left="0" w:firstLine="482" w:firstLineChars="200"/>
              <w:jc w:val="both"/>
              <w:textAlignment w:val="auto"/>
              <w:rPr>
                <w:rFonts w:eastAsia="仿宋"/>
                <w:b/>
                <w:bCs/>
                <w:color w:val="auto"/>
              </w:rPr>
            </w:pPr>
            <w:r>
              <w:rPr>
                <w:rFonts w:eastAsia="仿宋"/>
                <w:b/>
                <w:bCs/>
                <w:color w:val="auto"/>
              </w:rPr>
              <w:t>2、运营期环境问题</w:t>
            </w:r>
          </w:p>
          <w:p w14:paraId="29C628FC">
            <w:pPr>
              <w:pStyle w:val="14"/>
              <w:keepNext w:val="0"/>
              <w:keepLines w:val="0"/>
              <w:pageBreakBefore w:val="0"/>
              <w:widowControl w:val="0"/>
              <w:wordWrap/>
              <w:overflowPunct w:val="0"/>
              <w:topLinePunct w:val="0"/>
              <w:autoSpaceDE w:val="0"/>
              <w:autoSpaceDN w:val="0"/>
              <w:bidi w:val="0"/>
              <w:adjustRightInd/>
              <w:snapToGrid/>
              <w:spacing w:line="500" w:lineRule="exact"/>
              <w:ind w:left="0" w:firstLine="480" w:firstLineChars="200"/>
              <w:jc w:val="both"/>
              <w:textAlignment w:val="auto"/>
              <w:rPr>
                <w:rFonts w:hint="default" w:eastAsia="仿宋"/>
                <w:color w:val="auto"/>
                <w:lang w:val="en-US" w:eastAsia="zh-CN"/>
              </w:rPr>
            </w:pPr>
            <w:r>
              <w:rPr>
                <w:rFonts w:eastAsia="仿宋"/>
                <w:color w:val="auto"/>
              </w:rPr>
              <w:t>管输项目运营期无</w:t>
            </w:r>
            <w:r>
              <w:rPr>
                <w:rFonts w:hint="eastAsia" w:eastAsia="仿宋"/>
                <w:color w:val="auto"/>
                <w:lang w:val="en-US" w:eastAsia="zh-CN"/>
              </w:rPr>
              <w:t>废水</w:t>
            </w:r>
            <w:r>
              <w:rPr>
                <w:rFonts w:eastAsia="仿宋"/>
                <w:color w:val="auto"/>
              </w:rPr>
              <w:t>产生，</w:t>
            </w:r>
            <w:r>
              <w:rPr>
                <w:rFonts w:hint="eastAsia" w:eastAsia="仿宋"/>
                <w:color w:val="auto"/>
                <w:lang w:val="en-US" w:eastAsia="zh-CN"/>
              </w:rPr>
              <w:t>运营期其他环境问题如下：</w:t>
            </w:r>
          </w:p>
          <w:p w14:paraId="0234F7CD">
            <w:pPr>
              <w:pStyle w:val="14"/>
              <w:keepNext w:val="0"/>
              <w:keepLines w:val="0"/>
              <w:pageBreakBefore w:val="0"/>
              <w:widowControl w:val="0"/>
              <w:numPr>
                <w:ilvl w:val="0"/>
                <w:numId w:val="1"/>
              </w:numPr>
              <w:wordWrap/>
              <w:overflowPunct w:val="0"/>
              <w:topLinePunct w:val="0"/>
              <w:autoSpaceDE w:val="0"/>
              <w:autoSpaceDN w:val="0"/>
              <w:bidi w:val="0"/>
              <w:adjustRightInd/>
              <w:snapToGrid/>
              <w:spacing w:line="500" w:lineRule="exact"/>
              <w:ind w:left="0" w:firstLine="480" w:firstLineChars="200"/>
              <w:jc w:val="both"/>
              <w:textAlignment w:val="auto"/>
              <w:rPr>
                <w:rFonts w:hint="eastAsia" w:eastAsia="仿宋"/>
                <w:color w:val="auto"/>
              </w:rPr>
            </w:pPr>
            <w:r>
              <w:rPr>
                <w:rFonts w:hint="eastAsia" w:eastAsia="仿宋"/>
                <w:color w:val="auto"/>
                <w:lang w:val="en-US" w:eastAsia="zh-CN"/>
              </w:rPr>
              <w:t>废气：</w:t>
            </w:r>
            <w:r>
              <w:rPr>
                <w:rFonts w:hint="eastAsia" w:eastAsia="仿宋"/>
                <w:color w:val="auto"/>
              </w:rPr>
              <w:t>新建输送管线为地上管道，管道密闭输送，管线中间不设置阀门，阀门及仪表均设置在管线终端，因此会有因动静密封点产生的少量无组织废气。同时，新增的复热器、增压泵、冷却器等在运行时也会因动静密封点产生少量无组织废气</w:t>
            </w:r>
            <w:r>
              <w:rPr>
                <w:rFonts w:hint="eastAsia" w:eastAsia="仿宋"/>
                <w:color w:val="auto"/>
                <w:lang w:eastAsia="zh-CN"/>
              </w:rPr>
              <w:t>，</w:t>
            </w:r>
            <w:r>
              <w:rPr>
                <w:rFonts w:eastAsia="仿宋"/>
                <w:color w:val="auto"/>
              </w:rPr>
              <w:t>正常工况下不会对生态环境产生影响。</w:t>
            </w:r>
            <w:r>
              <w:rPr>
                <w:rFonts w:hint="eastAsia" w:eastAsia="仿宋"/>
                <w:color w:val="auto"/>
              </w:rPr>
              <w:t>检修等非正常工况下</w:t>
            </w:r>
            <w:r>
              <w:rPr>
                <w:rFonts w:hint="eastAsia" w:eastAsia="仿宋"/>
                <w:color w:val="auto"/>
                <w:lang w:val="en-US" w:eastAsia="zh-CN"/>
              </w:rPr>
              <w:t>会产生乙二醇、丙酮和丁烷等吹扫废气</w:t>
            </w:r>
            <w:r>
              <w:rPr>
                <w:rFonts w:hint="eastAsia" w:eastAsia="仿宋"/>
                <w:color w:val="auto"/>
              </w:rPr>
              <w:t>。</w:t>
            </w:r>
          </w:p>
          <w:p w14:paraId="488667F4">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left="0" w:firstLine="480" w:firstLineChars="200"/>
              <w:jc w:val="both"/>
              <w:textAlignment w:val="auto"/>
              <w:rPr>
                <w:rFonts w:hint="default" w:eastAsia="仿宋"/>
                <w:b w:val="0"/>
                <w:bCs w:val="0"/>
                <w:color w:val="auto"/>
                <w:lang w:val="en-US" w:eastAsia="zh-CN"/>
              </w:rPr>
            </w:pPr>
            <w:r>
              <w:rPr>
                <w:rFonts w:hint="eastAsia" w:eastAsia="仿宋"/>
                <w:b w:val="0"/>
                <w:bCs w:val="0"/>
                <w:color w:val="auto"/>
                <w:lang w:eastAsia="zh-CN"/>
              </w:rPr>
              <w:t>（</w:t>
            </w:r>
            <w:r>
              <w:rPr>
                <w:rFonts w:hint="eastAsia" w:eastAsia="仿宋"/>
                <w:b w:val="0"/>
                <w:bCs w:val="0"/>
                <w:color w:val="auto"/>
                <w:lang w:val="en-US" w:eastAsia="zh-CN"/>
              </w:rPr>
              <w:t>2</w:t>
            </w:r>
            <w:r>
              <w:rPr>
                <w:rFonts w:hint="eastAsia" w:eastAsia="仿宋"/>
                <w:b w:val="0"/>
                <w:bCs w:val="0"/>
                <w:color w:val="auto"/>
                <w:lang w:eastAsia="zh-CN"/>
              </w:rPr>
              <w:t>）</w:t>
            </w:r>
            <w:r>
              <w:rPr>
                <w:rFonts w:hint="eastAsia" w:eastAsia="仿宋"/>
                <w:b w:val="0"/>
                <w:bCs w:val="0"/>
                <w:color w:val="auto"/>
                <w:lang w:val="en-US" w:eastAsia="zh-CN"/>
              </w:rPr>
              <w:t>噪声：项目新增的丙酮付料泵、冷却水循环水泵等运行产生设备噪声。</w:t>
            </w:r>
          </w:p>
          <w:p w14:paraId="63587632">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left="0" w:firstLine="480" w:firstLineChars="200"/>
              <w:jc w:val="both"/>
              <w:textAlignment w:val="auto"/>
              <w:rPr>
                <w:rFonts w:hint="default" w:eastAsia="仿宋"/>
                <w:b w:val="0"/>
                <w:bCs w:val="0"/>
                <w:color w:val="auto"/>
                <w:lang w:val="en-US" w:eastAsia="zh-CN"/>
              </w:rPr>
            </w:pPr>
            <w:r>
              <w:rPr>
                <w:rFonts w:hint="eastAsia" w:eastAsia="仿宋"/>
                <w:b w:val="0"/>
                <w:bCs w:val="0"/>
                <w:color w:val="auto"/>
                <w:lang w:eastAsia="zh-CN"/>
              </w:rPr>
              <w:t>（</w:t>
            </w:r>
            <w:r>
              <w:rPr>
                <w:rFonts w:hint="eastAsia" w:eastAsia="仿宋"/>
                <w:b w:val="0"/>
                <w:bCs w:val="0"/>
                <w:color w:val="auto"/>
                <w:lang w:val="en-US" w:eastAsia="zh-CN"/>
              </w:rPr>
              <w:t>3</w:t>
            </w:r>
            <w:r>
              <w:rPr>
                <w:rFonts w:hint="eastAsia" w:eastAsia="仿宋"/>
                <w:b w:val="0"/>
                <w:bCs w:val="0"/>
                <w:color w:val="auto"/>
                <w:lang w:eastAsia="zh-CN"/>
              </w:rPr>
              <w:t>）</w:t>
            </w:r>
            <w:r>
              <w:rPr>
                <w:rFonts w:hint="eastAsia" w:eastAsia="仿宋"/>
                <w:b w:val="0"/>
                <w:bCs w:val="0"/>
                <w:color w:val="auto"/>
                <w:lang w:val="en-US" w:eastAsia="zh-CN"/>
              </w:rPr>
              <w:t>固废：本次新增设备数量较少，检修保养等产生的少量废机油及含油抹布纳入其所在罐组统一管理，本次不考虑废机油及含油抹布新增。运营管理人员从现有人员中调剂，不新增劳动定员，不增加生活垃圾产生量。管道检修过程中管道内残余的物质需清空后方可进行检修，检修及扫线产生废弃物。</w:t>
            </w:r>
          </w:p>
          <w:p w14:paraId="68320FDF">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left="0" w:firstLine="482" w:firstLineChars="200"/>
              <w:jc w:val="both"/>
              <w:textAlignment w:val="auto"/>
              <w:rPr>
                <w:rFonts w:eastAsia="仿宋"/>
                <w:b/>
                <w:bCs/>
                <w:color w:val="auto"/>
              </w:rPr>
            </w:pPr>
            <w:r>
              <w:rPr>
                <w:rFonts w:eastAsia="仿宋"/>
                <w:b/>
                <w:bCs/>
                <w:color w:val="auto"/>
              </w:rPr>
              <w:t>二、环境保护措施</w:t>
            </w:r>
          </w:p>
          <w:p w14:paraId="3749C9F0">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firstLine="482" w:firstLineChars="200"/>
              <w:jc w:val="both"/>
              <w:textAlignment w:val="auto"/>
              <w:rPr>
                <w:rFonts w:hint="eastAsia" w:eastAsia="仿宋"/>
                <w:b/>
                <w:bCs/>
                <w:color w:val="auto"/>
                <w:lang w:val="en-US" w:eastAsia="zh-CN"/>
              </w:rPr>
            </w:pPr>
            <w:r>
              <w:rPr>
                <w:rFonts w:hint="eastAsia" w:eastAsia="仿宋"/>
                <w:b/>
                <w:bCs/>
                <w:color w:val="auto"/>
                <w:lang w:val="en-US" w:eastAsia="zh-CN"/>
              </w:rPr>
              <w:t>1、施工期污染控制措施</w:t>
            </w:r>
          </w:p>
          <w:p w14:paraId="6EEEA566">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left="0" w:firstLine="480" w:firstLineChars="200"/>
              <w:jc w:val="both"/>
              <w:textAlignment w:val="auto"/>
              <w:rPr>
                <w:rFonts w:eastAsia="仿宋"/>
                <w:color w:val="auto"/>
              </w:rPr>
            </w:pPr>
            <w:r>
              <w:rPr>
                <w:rFonts w:hint="eastAsia" w:eastAsia="仿宋"/>
                <w:color w:val="auto"/>
                <w:lang w:eastAsia="zh-CN"/>
              </w:rPr>
              <w:t>（</w:t>
            </w:r>
            <w:r>
              <w:rPr>
                <w:rFonts w:hint="eastAsia" w:eastAsia="仿宋"/>
                <w:color w:val="auto"/>
                <w:lang w:val="en-US" w:eastAsia="zh-CN"/>
              </w:rPr>
              <w:t>1</w:t>
            </w:r>
            <w:r>
              <w:rPr>
                <w:rFonts w:hint="eastAsia" w:eastAsia="仿宋"/>
                <w:color w:val="auto"/>
                <w:lang w:eastAsia="zh-CN"/>
              </w:rPr>
              <w:t>）</w:t>
            </w:r>
            <w:r>
              <w:rPr>
                <w:rFonts w:hint="eastAsia" w:eastAsia="仿宋"/>
                <w:color w:val="auto"/>
                <w:lang w:val="en-US" w:eastAsia="zh-CN"/>
              </w:rPr>
              <w:t>废气</w:t>
            </w:r>
          </w:p>
          <w:p w14:paraId="4D585DE5">
            <w:pPr>
              <w:pStyle w:val="14"/>
              <w:keepNext w:val="0"/>
              <w:keepLines w:val="0"/>
              <w:pageBreakBefore w:val="0"/>
              <w:widowControl w:val="0"/>
              <w:wordWrap/>
              <w:overflowPunct w:val="0"/>
              <w:topLinePunct w:val="0"/>
              <w:autoSpaceDE w:val="0"/>
              <w:autoSpaceDN w:val="0"/>
              <w:bidi w:val="0"/>
              <w:adjustRightInd/>
              <w:snapToGrid/>
              <w:spacing w:line="500" w:lineRule="exact"/>
              <w:ind w:left="0" w:firstLine="480" w:firstLineChars="200"/>
              <w:jc w:val="both"/>
              <w:textAlignment w:val="auto"/>
              <w:rPr>
                <w:rFonts w:hint="eastAsia" w:eastAsia="仿宋"/>
                <w:color w:val="auto"/>
                <w:lang w:eastAsia="zh-CN"/>
              </w:rPr>
            </w:pPr>
            <w:r>
              <w:rPr>
                <w:rFonts w:hint="eastAsia" w:eastAsia="仿宋"/>
                <w:color w:val="auto"/>
                <w:lang w:eastAsia="zh-CN"/>
              </w:rPr>
              <w:t>本项目施工期产生的施工废气主要为施工扬尘、施工机械尾气、运输汽车尾气、焊接烟尘。施工单位严格按照规范施工，在作业现场采取了相应的污染防治措施。</w:t>
            </w:r>
            <w:r>
              <w:rPr>
                <w:rFonts w:hint="eastAsia" w:eastAsia="仿宋"/>
                <w:color w:val="auto"/>
                <w:lang w:val="en-US" w:eastAsia="zh-CN"/>
              </w:rPr>
              <w:t>并</w:t>
            </w:r>
            <w:r>
              <w:rPr>
                <w:rFonts w:hint="eastAsia" w:eastAsia="仿宋"/>
                <w:color w:val="auto"/>
                <w:lang w:eastAsia="zh-CN"/>
              </w:rPr>
              <w:t>按照《关于加强施工场地环境管理的通知》做好施工场地环境管理，严格落实了各项污染防治措施，减少扬尘、噪声、VOCs 和固体废物等对周围环境的影响，</w:t>
            </w:r>
            <w:r>
              <w:rPr>
                <w:rFonts w:hint="eastAsia" w:eastAsia="仿宋"/>
                <w:color w:val="auto"/>
                <w:lang w:val="en-US" w:eastAsia="zh-CN"/>
              </w:rPr>
              <w:t>施工</w:t>
            </w:r>
            <w:r>
              <w:rPr>
                <w:rFonts w:hint="eastAsia" w:eastAsia="仿宋"/>
                <w:color w:val="auto"/>
                <w:lang w:eastAsia="zh-CN"/>
              </w:rPr>
              <w:t>扬尘</w:t>
            </w:r>
            <w:r>
              <w:rPr>
                <w:rFonts w:hint="eastAsia" w:eastAsia="仿宋"/>
                <w:color w:val="auto"/>
                <w:lang w:val="en-US" w:eastAsia="zh-CN"/>
              </w:rPr>
              <w:t>满足</w:t>
            </w:r>
            <w:r>
              <w:rPr>
                <w:rFonts w:hint="eastAsia" w:eastAsia="仿宋"/>
                <w:color w:val="auto"/>
                <w:lang w:eastAsia="zh-CN"/>
              </w:rPr>
              <w:t>《施工场地扬尘排放标准》（DB32/4437-2022）。</w:t>
            </w:r>
          </w:p>
          <w:p w14:paraId="7F25F1FC">
            <w:pPr>
              <w:pStyle w:val="14"/>
              <w:keepNext w:val="0"/>
              <w:keepLines w:val="0"/>
              <w:pageBreakBefore w:val="0"/>
              <w:widowControl w:val="0"/>
              <w:wordWrap/>
              <w:overflowPunct w:val="0"/>
              <w:topLinePunct w:val="0"/>
              <w:autoSpaceDE w:val="0"/>
              <w:autoSpaceDN w:val="0"/>
              <w:bidi w:val="0"/>
              <w:adjustRightInd/>
              <w:snapToGrid/>
              <w:spacing w:line="500" w:lineRule="exact"/>
              <w:ind w:left="0" w:firstLine="480" w:firstLineChars="200"/>
              <w:jc w:val="both"/>
              <w:textAlignment w:val="auto"/>
              <w:rPr>
                <w:rFonts w:eastAsia="仿宋"/>
                <w:color w:val="auto"/>
              </w:rPr>
            </w:pPr>
            <w:r>
              <w:rPr>
                <w:rFonts w:hint="eastAsia" w:eastAsia="仿宋"/>
                <w:color w:val="auto"/>
                <w:lang w:val="en-US" w:eastAsia="zh-CN"/>
              </w:rPr>
              <w:t>①</w:t>
            </w:r>
            <w:r>
              <w:rPr>
                <w:rFonts w:eastAsia="仿宋"/>
                <w:color w:val="auto"/>
              </w:rPr>
              <w:t>施工扬尘</w:t>
            </w:r>
          </w:p>
          <w:p w14:paraId="00CAE087">
            <w:pPr>
              <w:pStyle w:val="14"/>
              <w:keepNext w:val="0"/>
              <w:keepLines w:val="0"/>
              <w:pageBreakBefore w:val="0"/>
              <w:widowControl w:val="0"/>
              <w:wordWrap/>
              <w:overflowPunct w:val="0"/>
              <w:topLinePunct w:val="0"/>
              <w:autoSpaceDE w:val="0"/>
              <w:autoSpaceDN w:val="0"/>
              <w:bidi w:val="0"/>
              <w:adjustRightInd/>
              <w:snapToGrid/>
              <w:spacing w:line="500" w:lineRule="exact"/>
              <w:ind w:left="0" w:firstLine="480" w:firstLineChars="200"/>
              <w:jc w:val="both"/>
              <w:textAlignment w:val="auto"/>
              <w:rPr>
                <w:rFonts w:eastAsia="仿宋"/>
                <w:color w:val="auto"/>
              </w:rPr>
            </w:pPr>
            <w:r>
              <w:rPr>
                <w:rFonts w:eastAsia="仿宋"/>
                <w:color w:val="auto"/>
              </w:rPr>
              <w:t>施工现场应合理安排施工作业，合理堆放施工材料，尽量减少搬运过程。对运输、装卸、贮存能散发粉尘物质的，须采取密闭遮盖或其他防护措施，施工场地有条件设置围挡的均应当设置不低于1.8m高围挡；</w:t>
            </w:r>
          </w:p>
          <w:p w14:paraId="71D7ACCE">
            <w:pPr>
              <w:pStyle w:val="14"/>
              <w:keepNext w:val="0"/>
              <w:keepLines w:val="0"/>
              <w:pageBreakBefore w:val="0"/>
              <w:widowControl w:val="0"/>
              <w:wordWrap/>
              <w:overflowPunct w:val="0"/>
              <w:topLinePunct w:val="0"/>
              <w:autoSpaceDE w:val="0"/>
              <w:autoSpaceDN w:val="0"/>
              <w:bidi w:val="0"/>
              <w:adjustRightInd/>
              <w:snapToGrid/>
              <w:spacing w:line="500" w:lineRule="exact"/>
              <w:ind w:left="0" w:firstLine="480" w:firstLineChars="200"/>
              <w:jc w:val="both"/>
              <w:textAlignment w:val="auto"/>
              <w:rPr>
                <w:rFonts w:eastAsia="仿宋"/>
                <w:color w:val="auto"/>
              </w:rPr>
            </w:pPr>
            <w:r>
              <w:rPr>
                <w:rFonts w:eastAsia="仿宋"/>
                <w:color w:val="auto"/>
              </w:rPr>
              <w:t>施工现场场地应当进行硬化处理，未能完全硬化的部分应当定期压实，场地的厚度和强度应满足施工和行车需要。现场场地和道路平坦通畅，以减少施工现场道路运输车辆颠簸洒漏物料。严格控制运输车辆车速，运输道路、施工场地等易起尘区域应定期洒水、清扫，减少扬尘污染；</w:t>
            </w:r>
          </w:p>
          <w:p w14:paraId="59F60AC8">
            <w:pPr>
              <w:pStyle w:val="14"/>
              <w:keepNext w:val="0"/>
              <w:keepLines w:val="0"/>
              <w:pageBreakBefore w:val="0"/>
              <w:widowControl w:val="0"/>
              <w:wordWrap/>
              <w:overflowPunct w:val="0"/>
              <w:topLinePunct w:val="0"/>
              <w:autoSpaceDE w:val="0"/>
              <w:autoSpaceDN w:val="0"/>
              <w:bidi w:val="0"/>
              <w:adjustRightInd/>
              <w:snapToGrid/>
              <w:spacing w:line="500" w:lineRule="exact"/>
              <w:ind w:left="0" w:firstLine="480" w:firstLineChars="200"/>
              <w:jc w:val="both"/>
              <w:textAlignment w:val="auto"/>
              <w:rPr>
                <w:rFonts w:eastAsia="仿宋"/>
                <w:color w:val="auto"/>
              </w:rPr>
            </w:pPr>
            <w:r>
              <w:rPr>
                <w:rFonts w:hint="eastAsia" w:eastAsia="仿宋"/>
                <w:color w:val="auto"/>
                <w:lang w:val="en-US" w:eastAsia="zh-CN"/>
              </w:rPr>
              <w:t>②</w:t>
            </w:r>
            <w:r>
              <w:rPr>
                <w:rFonts w:eastAsia="仿宋"/>
                <w:color w:val="auto"/>
              </w:rPr>
              <w:t>焊接烟尘</w:t>
            </w:r>
          </w:p>
          <w:p w14:paraId="160438D4">
            <w:pPr>
              <w:pStyle w:val="14"/>
              <w:keepNext w:val="0"/>
              <w:keepLines w:val="0"/>
              <w:pageBreakBefore w:val="0"/>
              <w:widowControl w:val="0"/>
              <w:wordWrap/>
              <w:overflowPunct w:val="0"/>
              <w:topLinePunct w:val="0"/>
              <w:autoSpaceDE w:val="0"/>
              <w:autoSpaceDN w:val="0"/>
              <w:bidi w:val="0"/>
              <w:adjustRightInd/>
              <w:snapToGrid/>
              <w:spacing w:line="500" w:lineRule="exact"/>
              <w:ind w:left="0" w:firstLine="480" w:firstLineChars="200"/>
              <w:jc w:val="both"/>
              <w:textAlignment w:val="auto"/>
              <w:rPr>
                <w:rFonts w:eastAsia="仿宋"/>
                <w:color w:val="auto"/>
              </w:rPr>
            </w:pPr>
            <w:r>
              <w:rPr>
                <w:rFonts w:hint="eastAsia" w:eastAsia="仿宋"/>
                <w:color w:val="auto"/>
              </w:rPr>
              <w:t>项目焊接采用电弧焊，评价建议尽量采用保护焊接方式进行焊接，减少焊接烟气产生量；加强现场管理，使用熟练的焊接工人，提高焊接效率，减少废气产生量。</w:t>
            </w:r>
          </w:p>
          <w:p w14:paraId="175C3F07">
            <w:pPr>
              <w:pStyle w:val="14"/>
              <w:keepNext w:val="0"/>
              <w:keepLines w:val="0"/>
              <w:pageBreakBefore w:val="0"/>
              <w:widowControl w:val="0"/>
              <w:wordWrap/>
              <w:overflowPunct w:val="0"/>
              <w:topLinePunct w:val="0"/>
              <w:autoSpaceDE w:val="0"/>
              <w:autoSpaceDN w:val="0"/>
              <w:bidi w:val="0"/>
              <w:adjustRightInd/>
              <w:snapToGrid/>
              <w:spacing w:line="500" w:lineRule="exact"/>
              <w:ind w:left="0" w:firstLine="480" w:firstLineChars="200"/>
              <w:jc w:val="both"/>
              <w:textAlignment w:val="auto"/>
              <w:rPr>
                <w:rFonts w:eastAsia="仿宋"/>
                <w:color w:val="auto"/>
              </w:rPr>
            </w:pPr>
            <w:r>
              <w:rPr>
                <w:rFonts w:hint="eastAsia" w:eastAsia="仿宋"/>
                <w:color w:val="auto"/>
                <w:lang w:val="en-US" w:eastAsia="zh-CN"/>
              </w:rPr>
              <w:t>③</w:t>
            </w:r>
            <w:r>
              <w:rPr>
                <w:rFonts w:eastAsia="仿宋"/>
                <w:color w:val="auto"/>
              </w:rPr>
              <w:t>施工机械、设备、车辆尾气</w:t>
            </w:r>
          </w:p>
          <w:p w14:paraId="09678DAD">
            <w:pPr>
              <w:pStyle w:val="14"/>
              <w:keepNext w:val="0"/>
              <w:keepLines w:val="0"/>
              <w:pageBreakBefore w:val="0"/>
              <w:widowControl w:val="0"/>
              <w:wordWrap/>
              <w:overflowPunct w:val="0"/>
              <w:topLinePunct w:val="0"/>
              <w:autoSpaceDE w:val="0"/>
              <w:autoSpaceDN w:val="0"/>
              <w:bidi w:val="0"/>
              <w:adjustRightInd/>
              <w:snapToGrid/>
              <w:spacing w:line="500" w:lineRule="exact"/>
              <w:ind w:left="0" w:firstLine="480" w:firstLineChars="200"/>
              <w:jc w:val="both"/>
              <w:textAlignment w:val="auto"/>
              <w:rPr>
                <w:rFonts w:eastAsia="仿宋"/>
                <w:color w:val="auto"/>
              </w:rPr>
            </w:pPr>
            <w:r>
              <w:rPr>
                <w:rFonts w:hint="eastAsia" w:eastAsia="仿宋"/>
                <w:color w:val="auto"/>
              </w:rPr>
              <w:t>禁止环保不达标施工机械进入施工场地；加强施工机械维护与管理，及时对施工机械进行维护和保养；施工机械燃油应选用符合国家环保要求的燃油，禁止使用不合格油料。</w:t>
            </w:r>
          </w:p>
          <w:p w14:paraId="476DAB1E">
            <w:pPr>
              <w:pStyle w:val="14"/>
              <w:keepNext w:val="0"/>
              <w:keepLines w:val="0"/>
              <w:pageBreakBefore w:val="0"/>
              <w:widowControl w:val="0"/>
              <w:wordWrap/>
              <w:overflowPunct w:val="0"/>
              <w:topLinePunct w:val="0"/>
              <w:autoSpaceDE w:val="0"/>
              <w:autoSpaceDN w:val="0"/>
              <w:bidi w:val="0"/>
              <w:adjustRightInd/>
              <w:snapToGrid/>
              <w:spacing w:line="500" w:lineRule="exact"/>
              <w:ind w:firstLine="480" w:firstLineChars="200"/>
              <w:jc w:val="both"/>
              <w:textAlignment w:val="auto"/>
              <w:rPr>
                <w:rFonts w:eastAsia="仿宋"/>
                <w:color w:val="auto"/>
              </w:rPr>
            </w:pPr>
            <w:r>
              <w:rPr>
                <w:rFonts w:hint="eastAsia" w:eastAsia="仿宋"/>
                <w:color w:val="auto"/>
                <w:lang w:val="en-US" w:eastAsia="zh-CN"/>
              </w:rPr>
              <w:t>④</w:t>
            </w:r>
            <w:r>
              <w:rPr>
                <w:rFonts w:eastAsia="仿宋"/>
                <w:color w:val="auto"/>
              </w:rPr>
              <w:t>涂漆废气</w:t>
            </w:r>
          </w:p>
          <w:p w14:paraId="2A4F6F99">
            <w:pPr>
              <w:pStyle w:val="14"/>
              <w:keepNext w:val="0"/>
              <w:keepLines w:val="0"/>
              <w:pageBreakBefore w:val="0"/>
              <w:widowControl w:val="0"/>
              <w:wordWrap/>
              <w:overflowPunct w:val="0"/>
              <w:topLinePunct w:val="0"/>
              <w:autoSpaceDE w:val="0"/>
              <w:autoSpaceDN w:val="0"/>
              <w:bidi w:val="0"/>
              <w:adjustRightInd/>
              <w:snapToGrid/>
              <w:spacing w:line="500" w:lineRule="exact"/>
              <w:ind w:firstLine="480" w:firstLineChars="200"/>
              <w:jc w:val="both"/>
              <w:textAlignment w:val="auto"/>
              <w:rPr>
                <w:rFonts w:eastAsia="仿宋"/>
                <w:color w:val="auto"/>
              </w:rPr>
            </w:pPr>
            <w:r>
              <w:rPr>
                <w:rFonts w:hint="eastAsia" w:eastAsia="仿宋"/>
                <w:color w:val="auto"/>
              </w:rPr>
              <w:t>钢结构在工厂预制，防腐层提前完成喷涂。现场仅对焊接后进行焊缝补刷、防腐，减少了现场防腐涂刷量，进而减少防腐涂料废气排放量。本项目施工期储存油漆的桶应当盖好，避免溶剂挥发。防腐涂装施工过程中尽量选用水性涂料或无溶剂涂料，从而避免溶剂挥发对境空气的污染。</w:t>
            </w:r>
          </w:p>
          <w:p w14:paraId="73E58905">
            <w:pPr>
              <w:pStyle w:val="14"/>
              <w:keepNext w:val="0"/>
              <w:keepLines w:val="0"/>
              <w:pageBreakBefore w:val="0"/>
              <w:widowControl w:val="0"/>
              <w:wordWrap/>
              <w:overflowPunct w:val="0"/>
              <w:topLinePunct w:val="0"/>
              <w:autoSpaceDE w:val="0"/>
              <w:autoSpaceDN w:val="0"/>
              <w:bidi w:val="0"/>
              <w:adjustRightInd/>
              <w:snapToGrid/>
              <w:spacing w:line="500" w:lineRule="exact"/>
              <w:ind w:firstLine="480" w:firstLineChars="200"/>
              <w:jc w:val="both"/>
              <w:textAlignment w:val="auto"/>
              <w:rPr>
                <w:rFonts w:eastAsia="仿宋"/>
                <w:color w:val="auto"/>
              </w:rPr>
            </w:pPr>
            <w:r>
              <w:rPr>
                <w:rFonts w:hint="eastAsia" w:eastAsia="仿宋"/>
                <w:color w:val="auto"/>
                <w:lang w:eastAsia="zh-CN"/>
              </w:rPr>
              <w:t>（</w:t>
            </w:r>
            <w:r>
              <w:rPr>
                <w:rFonts w:hint="eastAsia" w:eastAsia="仿宋"/>
                <w:color w:val="auto"/>
                <w:lang w:val="en-US" w:eastAsia="zh-CN"/>
              </w:rPr>
              <w:t>2</w:t>
            </w:r>
            <w:r>
              <w:rPr>
                <w:rFonts w:hint="eastAsia" w:eastAsia="仿宋"/>
                <w:color w:val="auto"/>
                <w:lang w:eastAsia="zh-CN"/>
              </w:rPr>
              <w:t>）</w:t>
            </w:r>
            <w:r>
              <w:rPr>
                <w:rFonts w:eastAsia="仿宋"/>
                <w:color w:val="auto"/>
              </w:rPr>
              <w:t>水污染防治措施</w:t>
            </w:r>
          </w:p>
          <w:p w14:paraId="6CC0CE97">
            <w:pPr>
              <w:pStyle w:val="14"/>
              <w:keepNext w:val="0"/>
              <w:keepLines w:val="0"/>
              <w:pageBreakBefore w:val="0"/>
              <w:widowControl w:val="0"/>
              <w:wordWrap/>
              <w:overflowPunct w:val="0"/>
              <w:topLinePunct w:val="0"/>
              <w:autoSpaceDE w:val="0"/>
              <w:autoSpaceDN w:val="0"/>
              <w:bidi w:val="0"/>
              <w:adjustRightInd/>
              <w:snapToGrid/>
              <w:spacing w:line="500" w:lineRule="exact"/>
              <w:ind w:firstLine="480" w:firstLineChars="200"/>
              <w:jc w:val="both"/>
              <w:textAlignment w:val="auto"/>
              <w:rPr>
                <w:rFonts w:eastAsia="仿宋"/>
                <w:color w:val="auto"/>
              </w:rPr>
            </w:pPr>
            <w:r>
              <w:rPr>
                <w:rFonts w:eastAsia="仿宋"/>
                <w:color w:val="auto"/>
              </w:rPr>
              <w:t>项目施工期废水主要包括生活污水和管道的清管试压废水。</w:t>
            </w:r>
            <w:r>
              <w:rPr>
                <w:rFonts w:hint="eastAsia" w:eastAsia="仿宋"/>
                <w:color w:val="auto"/>
              </w:rPr>
              <w:t>管线试压废水主要污染物为铁锈、沙石等，集中收集与生活污水一起排入斯尔邦石化有限公司污水处理站统一处理后回用。</w:t>
            </w:r>
          </w:p>
          <w:p w14:paraId="4EB396F1">
            <w:pPr>
              <w:pStyle w:val="14"/>
              <w:keepNext w:val="0"/>
              <w:keepLines w:val="0"/>
              <w:pageBreakBefore w:val="0"/>
              <w:widowControl w:val="0"/>
              <w:wordWrap/>
              <w:overflowPunct w:val="0"/>
              <w:topLinePunct w:val="0"/>
              <w:autoSpaceDE w:val="0"/>
              <w:autoSpaceDN w:val="0"/>
              <w:bidi w:val="0"/>
              <w:adjustRightInd/>
              <w:snapToGrid/>
              <w:spacing w:line="500" w:lineRule="exact"/>
              <w:ind w:firstLine="480" w:firstLineChars="200"/>
              <w:jc w:val="both"/>
              <w:textAlignment w:val="auto"/>
              <w:rPr>
                <w:rFonts w:eastAsia="仿宋"/>
                <w:color w:val="auto"/>
              </w:rPr>
            </w:pPr>
            <w:r>
              <w:rPr>
                <w:rFonts w:hint="eastAsia" w:eastAsia="仿宋"/>
                <w:color w:val="auto"/>
                <w:lang w:eastAsia="zh-CN"/>
              </w:rPr>
              <w:t>（</w:t>
            </w:r>
            <w:r>
              <w:rPr>
                <w:rFonts w:hint="eastAsia" w:eastAsia="仿宋"/>
                <w:color w:val="auto"/>
                <w:lang w:val="en-US" w:eastAsia="zh-CN"/>
              </w:rPr>
              <w:t>3</w:t>
            </w:r>
            <w:r>
              <w:rPr>
                <w:rFonts w:hint="eastAsia" w:eastAsia="仿宋"/>
                <w:color w:val="auto"/>
                <w:lang w:eastAsia="zh-CN"/>
              </w:rPr>
              <w:t>）</w:t>
            </w:r>
            <w:r>
              <w:rPr>
                <w:rFonts w:eastAsia="仿宋"/>
                <w:color w:val="auto"/>
              </w:rPr>
              <w:t>固体废物防治措施</w:t>
            </w:r>
          </w:p>
          <w:p w14:paraId="2BEAC390">
            <w:pPr>
              <w:pStyle w:val="14"/>
              <w:keepNext w:val="0"/>
              <w:keepLines w:val="0"/>
              <w:pageBreakBefore w:val="0"/>
              <w:widowControl w:val="0"/>
              <w:wordWrap/>
              <w:overflowPunct w:val="0"/>
              <w:topLinePunct w:val="0"/>
              <w:autoSpaceDE w:val="0"/>
              <w:autoSpaceDN w:val="0"/>
              <w:bidi w:val="0"/>
              <w:adjustRightInd/>
              <w:snapToGrid/>
              <w:spacing w:line="500" w:lineRule="exact"/>
              <w:ind w:firstLine="480" w:firstLineChars="200"/>
              <w:jc w:val="both"/>
              <w:textAlignment w:val="auto"/>
              <w:rPr>
                <w:rFonts w:hint="eastAsia" w:eastAsia="仿宋"/>
                <w:color w:val="auto"/>
                <w:lang w:eastAsia="zh-CN"/>
              </w:rPr>
            </w:pPr>
            <w:r>
              <w:rPr>
                <w:rFonts w:hint="eastAsia" w:eastAsia="仿宋"/>
                <w:color w:val="auto"/>
                <w:lang w:eastAsia="zh-CN"/>
              </w:rPr>
              <w:t>施工期间产生的固体废物主要为施工人员的生活垃圾、清管废渣、废油漆桶、废焊条。少量生活垃圾经收集后由当地环卫部门清运；首次清管作业产生的废渣产生量较小，属于一般固废，由施工单位收集后委外处理；建筑垃圾及时清运出场至建筑垃圾回收单位；废油漆桶交由有资质单位处置。</w:t>
            </w:r>
          </w:p>
          <w:p w14:paraId="1F64C31D">
            <w:pPr>
              <w:pStyle w:val="14"/>
              <w:keepNext w:val="0"/>
              <w:keepLines w:val="0"/>
              <w:pageBreakBefore w:val="0"/>
              <w:widowControl w:val="0"/>
              <w:wordWrap/>
              <w:overflowPunct w:val="0"/>
              <w:topLinePunct w:val="0"/>
              <w:autoSpaceDE w:val="0"/>
              <w:autoSpaceDN w:val="0"/>
              <w:bidi w:val="0"/>
              <w:adjustRightInd/>
              <w:snapToGrid/>
              <w:spacing w:line="500" w:lineRule="exact"/>
              <w:ind w:firstLine="480" w:firstLineChars="200"/>
              <w:jc w:val="both"/>
              <w:textAlignment w:val="auto"/>
              <w:rPr>
                <w:rFonts w:eastAsia="仿宋"/>
                <w:color w:val="auto"/>
              </w:rPr>
            </w:pPr>
            <w:r>
              <w:rPr>
                <w:rFonts w:hint="eastAsia" w:eastAsia="仿宋"/>
                <w:color w:val="auto"/>
                <w:lang w:eastAsia="zh-CN"/>
              </w:rPr>
              <w:t>（</w:t>
            </w:r>
            <w:r>
              <w:rPr>
                <w:rFonts w:hint="eastAsia" w:eastAsia="仿宋"/>
                <w:color w:val="auto"/>
                <w:lang w:val="en-US" w:eastAsia="zh-CN"/>
              </w:rPr>
              <w:t>4</w:t>
            </w:r>
            <w:r>
              <w:rPr>
                <w:rFonts w:hint="eastAsia" w:eastAsia="仿宋"/>
                <w:color w:val="auto"/>
                <w:lang w:eastAsia="zh-CN"/>
              </w:rPr>
              <w:t>）</w:t>
            </w:r>
            <w:r>
              <w:rPr>
                <w:rFonts w:eastAsia="仿宋"/>
                <w:color w:val="auto"/>
              </w:rPr>
              <w:t>噪声污染及防治措施</w:t>
            </w:r>
          </w:p>
          <w:p w14:paraId="5CDF07D0">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firstLine="480" w:firstLineChars="200"/>
              <w:jc w:val="both"/>
              <w:textAlignment w:val="auto"/>
              <w:rPr>
                <w:rFonts w:eastAsia="仿宋"/>
                <w:color w:val="auto"/>
              </w:rPr>
            </w:pPr>
            <w:r>
              <w:rPr>
                <w:rFonts w:eastAsia="仿宋"/>
                <w:color w:val="auto"/>
              </w:rPr>
              <w:t>施工期噪声主要为施工机械及运输车辆产生的噪声、焊接噪声，施工期间应落实以下噪声污染防治措施：</w:t>
            </w:r>
          </w:p>
          <w:p w14:paraId="41BF6D71">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firstLine="480" w:firstLineChars="200"/>
              <w:jc w:val="both"/>
              <w:textAlignment w:val="auto"/>
              <w:rPr>
                <w:rFonts w:eastAsia="仿宋"/>
                <w:color w:val="auto"/>
              </w:rPr>
            </w:pPr>
            <w:r>
              <w:rPr>
                <w:rFonts w:eastAsia="仿宋"/>
                <w:color w:val="auto"/>
              </w:rPr>
              <w:t>合理安排施工进度和作业时间，禁止夜间（22：00~次日6：00）进行产生环境噪声污染的建筑施工作业，特殊情况需连续作业的，应尽量采取降噪措施。合理疏导交通，限制运输车辆鸣笛，降低交通噪声；</w:t>
            </w:r>
          </w:p>
          <w:p w14:paraId="015A06CA">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firstLine="480" w:firstLineChars="200"/>
              <w:jc w:val="both"/>
              <w:textAlignment w:val="auto"/>
              <w:rPr>
                <w:rFonts w:eastAsia="仿宋"/>
                <w:color w:val="auto"/>
              </w:rPr>
            </w:pPr>
            <w:r>
              <w:rPr>
                <w:rFonts w:eastAsia="仿宋"/>
                <w:color w:val="auto"/>
              </w:rPr>
              <w:t>施工单位应尽量选用先进的低噪声设备，对高噪声设备采取隔声、隔震或消声措施，如在声源周围设置屏障、加隔震垫、安装消声器等，严格控制施工场界噪声不超过《建筑施工噪声排放标准》</w:t>
            </w:r>
            <w:r>
              <w:rPr>
                <w:rFonts w:hint="eastAsia" w:eastAsia="仿宋"/>
                <w:color w:val="auto"/>
                <w:lang w:eastAsia="zh-CN"/>
              </w:rPr>
              <w:t>（</w:t>
            </w:r>
            <w:r>
              <w:rPr>
                <w:rFonts w:eastAsia="仿宋"/>
                <w:color w:val="auto"/>
              </w:rPr>
              <w:t>GB12523</w:t>
            </w:r>
            <w:r>
              <w:rPr>
                <w:rFonts w:eastAsia="仿宋"/>
                <w:color w:val="auto"/>
              </w:rPr>
              <w:noBreakHyphen/>
            </w:r>
            <w:r>
              <w:rPr>
                <w:rFonts w:eastAsia="仿宋"/>
                <w:color w:val="auto"/>
              </w:rPr>
              <w:t>2025</w:t>
            </w:r>
            <w:r>
              <w:rPr>
                <w:rFonts w:hint="eastAsia" w:eastAsia="仿宋"/>
                <w:color w:val="auto"/>
                <w:lang w:eastAsia="zh-CN"/>
              </w:rPr>
              <w:t>）</w:t>
            </w:r>
            <w:r>
              <w:rPr>
                <w:rFonts w:eastAsia="仿宋"/>
                <w:color w:val="auto"/>
              </w:rPr>
              <w:t>中的标准限值；</w:t>
            </w:r>
          </w:p>
          <w:p w14:paraId="0F1134D5">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firstLine="480" w:firstLineChars="200"/>
              <w:jc w:val="both"/>
              <w:textAlignment w:val="auto"/>
              <w:rPr>
                <w:rFonts w:eastAsia="仿宋"/>
                <w:color w:val="auto"/>
              </w:rPr>
            </w:pPr>
            <w:r>
              <w:rPr>
                <w:rFonts w:eastAsia="仿宋"/>
                <w:color w:val="auto"/>
              </w:rPr>
              <w:t>施工中应加强对施工机械、设备、运输车辆等的维护保养，避免由于设备性能差而增大机械噪声的现象产生。</w:t>
            </w:r>
          </w:p>
          <w:p w14:paraId="5EFD1203">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firstLine="482" w:firstLineChars="200"/>
              <w:jc w:val="both"/>
              <w:textAlignment w:val="auto"/>
              <w:rPr>
                <w:rFonts w:hint="eastAsia" w:eastAsia="仿宋"/>
                <w:b/>
                <w:bCs/>
                <w:color w:val="auto"/>
                <w:lang w:val="en-US" w:eastAsia="zh-CN"/>
              </w:rPr>
            </w:pPr>
            <w:r>
              <w:rPr>
                <w:rFonts w:hint="eastAsia" w:eastAsia="仿宋"/>
                <w:b/>
                <w:bCs/>
                <w:color w:val="auto"/>
                <w:lang w:val="en-US" w:eastAsia="zh-CN"/>
              </w:rPr>
              <w:t>2、运营期污染控制措施</w:t>
            </w:r>
          </w:p>
          <w:p w14:paraId="19EEDC64">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firstLine="480" w:firstLineChars="200"/>
              <w:jc w:val="both"/>
              <w:textAlignment w:val="auto"/>
              <w:rPr>
                <w:rFonts w:hint="default" w:eastAsia="仿宋"/>
                <w:b w:val="0"/>
                <w:bCs w:val="0"/>
                <w:color w:val="auto"/>
                <w:lang w:val="en-US" w:eastAsia="zh-CN"/>
              </w:rPr>
            </w:pPr>
            <w:r>
              <w:rPr>
                <w:rFonts w:hint="eastAsia" w:eastAsia="仿宋"/>
                <w:b w:val="0"/>
                <w:bCs w:val="0"/>
                <w:color w:val="auto"/>
                <w:lang w:val="en-US" w:eastAsia="zh-CN"/>
              </w:rPr>
              <w:t>（1）废气：</w:t>
            </w:r>
            <w:r>
              <w:rPr>
                <w:rFonts w:hint="default" w:eastAsia="仿宋"/>
                <w:b w:val="0"/>
                <w:bCs w:val="0"/>
                <w:color w:val="auto"/>
                <w:lang w:val="en-US" w:eastAsia="zh-CN"/>
              </w:rPr>
              <w:t>检修等非正常工况下乙二醇吹扫废气经现有“催化氧化”处理后，通过 15m 排气筒排放；丙酮吹扫废气经现有“催化氧化+碱洗”处理后，通过15m排气筒排放；丁烷废气吹扫废气送往现有火炬系统焚烧处理后排空。</w:t>
            </w:r>
          </w:p>
          <w:p w14:paraId="1E0680C0">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firstLine="480" w:firstLineChars="200"/>
              <w:jc w:val="both"/>
              <w:textAlignment w:val="auto"/>
              <w:rPr>
                <w:rFonts w:hint="eastAsia" w:eastAsia="仿宋"/>
                <w:b w:val="0"/>
                <w:bCs w:val="0"/>
                <w:color w:val="auto"/>
                <w:lang w:val="en-US" w:eastAsia="zh-CN"/>
              </w:rPr>
            </w:pPr>
            <w:r>
              <w:rPr>
                <w:rFonts w:hint="eastAsia" w:eastAsia="仿宋"/>
                <w:b w:val="0"/>
                <w:bCs w:val="0"/>
                <w:color w:val="auto"/>
                <w:lang w:val="en-US" w:eastAsia="zh-CN"/>
              </w:rPr>
              <w:t>（2）噪声：本项目选用低噪声设备、采用设备底座增加减振垫、距离衰减等措施进行治理，根据监测结果可知，本项目厂界噪声均可达到《工业企业厂界环境噪声排放标准》(GB12348-2008)3类限值要求。</w:t>
            </w:r>
          </w:p>
          <w:p w14:paraId="0699B66E">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firstLine="480" w:firstLineChars="200"/>
              <w:jc w:val="both"/>
              <w:textAlignment w:val="auto"/>
              <w:rPr>
                <w:rFonts w:eastAsia="仿宋"/>
                <w:color w:val="auto"/>
              </w:rPr>
            </w:pPr>
            <w:r>
              <w:rPr>
                <w:rFonts w:hint="eastAsia" w:eastAsia="仿宋"/>
                <w:b w:val="0"/>
                <w:bCs w:val="0"/>
                <w:color w:val="auto"/>
                <w:lang w:val="en-US" w:eastAsia="zh-CN"/>
              </w:rPr>
              <w:t>（3）固废：</w:t>
            </w:r>
            <w:r>
              <w:rPr>
                <w:rFonts w:hint="eastAsia" w:eastAsia="仿宋"/>
                <w:color w:val="auto"/>
              </w:rPr>
              <w:t>新增管道检修及扫线废弃物暂存依托荣泰仓储厂内危废暂存库（占地面积</w:t>
            </w:r>
            <w:r>
              <w:rPr>
                <w:rFonts w:hint="eastAsia" w:eastAsia="仿宋"/>
                <w:color w:val="auto"/>
                <w:lang w:val="en-US" w:eastAsia="zh-CN"/>
              </w:rPr>
              <w:t>240</w:t>
            </w:r>
            <w:r>
              <w:rPr>
                <w:rFonts w:hint="eastAsia" w:eastAsia="仿宋"/>
                <w:color w:val="auto"/>
              </w:rPr>
              <w:t>m</w:t>
            </w:r>
            <w:r>
              <w:rPr>
                <w:rFonts w:hint="eastAsia" w:eastAsia="仿宋"/>
                <w:color w:val="auto"/>
                <w:vertAlign w:val="superscript"/>
              </w:rPr>
              <w:t>2</w:t>
            </w:r>
            <w:r>
              <w:rPr>
                <w:rFonts w:hint="eastAsia" w:eastAsia="仿宋"/>
                <w:color w:val="auto"/>
              </w:rPr>
              <w:t>），并委托有资质单位处置。</w:t>
            </w:r>
          </w:p>
        </w:tc>
      </w:tr>
    </w:tbl>
    <w:p w14:paraId="2B3C7C72">
      <w:pPr>
        <w:pStyle w:val="14"/>
        <w:kinsoku w:val="0"/>
        <w:overflowPunct w:val="0"/>
        <w:adjustRightInd/>
        <w:spacing w:line="360" w:lineRule="auto"/>
        <w:rPr>
          <w:rFonts w:eastAsia="仿宋"/>
          <w:color w:val="auto"/>
          <w:sz w:val="28"/>
          <w:szCs w:val="21"/>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6A0C893">
      <w:pPr>
        <w:pStyle w:val="4"/>
        <w:kinsoku w:val="0"/>
        <w:overflowPunct w:val="0"/>
        <w:spacing w:before="168"/>
        <w:ind w:left="0" w:right="255"/>
        <w:outlineLvl w:val="0"/>
        <w:rPr>
          <w:rFonts w:ascii="Times New Roman" w:eastAsia="仿宋" w:cs="Times New Roman"/>
          <w:b/>
          <w:bCs/>
          <w:color w:val="auto"/>
          <w:sz w:val="24"/>
          <w:szCs w:val="24"/>
        </w:rPr>
      </w:pPr>
      <w:r>
        <w:rPr>
          <w:rFonts w:ascii="Times New Roman" w:eastAsia="仿宋" w:cs="Times New Roman"/>
          <w:b/>
          <w:bCs/>
          <w:color w:val="auto"/>
          <w:sz w:val="24"/>
          <w:szCs w:val="24"/>
        </w:rPr>
        <w:t xml:space="preserve">表5 </w:t>
      </w:r>
      <w:r>
        <w:rPr>
          <w:rFonts w:hint="eastAsia" w:ascii="Times New Roman" w:eastAsia="仿宋" w:cs="Times New Roman"/>
          <w:b/>
          <w:bCs/>
          <w:color w:val="auto"/>
          <w:sz w:val="24"/>
          <w:szCs w:val="24"/>
          <w:lang w:val="en-US" w:eastAsia="zh-CN"/>
        </w:rPr>
        <w:t xml:space="preserve"> </w:t>
      </w:r>
      <w:r>
        <w:rPr>
          <w:rFonts w:ascii="Times New Roman" w:eastAsia="仿宋" w:cs="Times New Roman"/>
          <w:b/>
          <w:bCs/>
          <w:color w:val="auto"/>
          <w:sz w:val="24"/>
          <w:szCs w:val="24"/>
        </w:rPr>
        <w:t>环境影响评价回顾</w:t>
      </w:r>
    </w:p>
    <w:tbl>
      <w:tblPr>
        <w:tblStyle w:val="7"/>
        <w:tblW w:w="9177" w:type="dxa"/>
        <w:jc w:val="center"/>
        <w:tblLayout w:type="fixed"/>
        <w:tblCellMar>
          <w:top w:w="0" w:type="dxa"/>
          <w:left w:w="0" w:type="dxa"/>
          <w:bottom w:w="0" w:type="dxa"/>
          <w:right w:w="0" w:type="dxa"/>
        </w:tblCellMar>
      </w:tblPr>
      <w:tblGrid>
        <w:gridCol w:w="9177"/>
      </w:tblGrid>
      <w:tr w14:paraId="5D7C74B2">
        <w:tblPrEx>
          <w:tblCellMar>
            <w:top w:w="0" w:type="dxa"/>
            <w:left w:w="0" w:type="dxa"/>
            <w:bottom w:w="0" w:type="dxa"/>
            <w:right w:w="0" w:type="dxa"/>
          </w:tblCellMar>
        </w:tblPrEx>
        <w:trPr>
          <w:trHeight w:val="90" w:hRule="atLeast"/>
          <w:jc w:val="center"/>
        </w:trPr>
        <w:tc>
          <w:tcPr>
            <w:tcW w:w="9177" w:type="dxa"/>
            <w:tcBorders>
              <w:top w:val="single" w:color="000000" w:sz="4" w:space="0"/>
              <w:left w:val="single" w:color="000000" w:sz="4" w:space="0"/>
              <w:bottom w:val="single" w:color="000000" w:sz="4" w:space="0"/>
              <w:right w:val="single" w:color="000000" w:sz="4" w:space="0"/>
            </w:tcBorders>
            <w:vAlign w:val="top"/>
          </w:tcPr>
          <w:p w14:paraId="05F20635">
            <w:pPr>
              <w:pStyle w:val="14"/>
              <w:kinsoku w:val="0"/>
              <w:overflowPunct w:val="0"/>
              <w:spacing w:before="74" w:line="300" w:lineRule="auto"/>
              <w:ind w:left="102"/>
              <w:rPr>
                <w:rFonts w:eastAsia="仿宋"/>
                <w:color w:val="auto"/>
                <w:highlight w:val="none"/>
              </w:rPr>
            </w:pPr>
            <w:r>
              <w:rPr>
                <w:rFonts w:eastAsia="仿宋"/>
                <w:color w:val="auto"/>
                <w:highlight w:val="none"/>
              </w:rPr>
              <w:t>环境影响评价的主要环境影响预测及结论(生态、声、大气、水、固体废物等)：</w:t>
            </w:r>
          </w:p>
          <w:p w14:paraId="60159B5B">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firstLine="480" w:firstLineChars="200"/>
              <w:jc w:val="both"/>
              <w:textAlignment w:val="auto"/>
              <w:rPr>
                <w:rFonts w:hint="eastAsia" w:eastAsia="仿宋"/>
                <w:b w:val="0"/>
                <w:bCs w:val="0"/>
                <w:color w:val="auto"/>
                <w:lang w:val="en-US" w:eastAsia="zh-CN"/>
              </w:rPr>
            </w:pPr>
            <w:r>
              <w:rPr>
                <w:rFonts w:hint="eastAsia" w:eastAsia="仿宋"/>
                <w:b w:val="0"/>
                <w:bCs w:val="0"/>
                <w:color w:val="auto"/>
                <w:lang w:val="en-US" w:eastAsia="zh-CN"/>
              </w:rPr>
              <w:t>本次验收对项目运营期无组织废气及噪声进行检测，检测内容如下：</w:t>
            </w:r>
          </w:p>
          <w:p w14:paraId="122AA280">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firstLine="482" w:firstLineChars="200"/>
              <w:jc w:val="both"/>
              <w:textAlignment w:val="auto"/>
              <w:rPr>
                <w:rFonts w:hint="eastAsia" w:eastAsia="仿宋"/>
                <w:b/>
                <w:bCs/>
                <w:color w:val="auto"/>
                <w:lang w:val="en-US" w:eastAsia="zh-CN"/>
              </w:rPr>
            </w:pPr>
            <w:bookmarkStart w:id="0" w:name="_Toc505611404"/>
            <w:bookmarkStart w:id="1" w:name="_Toc498680262"/>
            <w:r>
              <w:rPr>
                <w:rFonts w:hint="eastAsia" w:eastAsia="仿宋"/>
                <w:b/>
                <w:bCs/>
                <w:color w:val="auto"/>
                <w:lang w:val="en-US" w:eastAsia="zh-CN"/>
              </w:rPr>
              <w:t>1、</w:t>
            </w:r>
            <w:bookmarkEnd w:id="0"/>
            <w:bookmarkEnd w:id="1"/>
            <w:bookmarkStart w:id="2" w:name="_Toc471810926"/>
            <w:bookmarkStart w:id="3" w:name="_Toc478048240"/>
            <w:r>
              <w:rPr>
                <w:rFonts w:hint="eastAsia" w:eastAsia="仿宋"/>
                <w:b/>
                <w:bCs/>
                <w:color w:val="auto"/>
                <w:lang w:val="en-US" w:eastAsia="zh-CN"/>
              </w:rPr>
              <w:t>废气监测</w:t>
            </w:r>
          </w:p>
          <w:p w14:paraId="3BDD8CF6">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firstLine="480" w:firstLineChars="200"/>
              <w:jc w:val="both"/>
              <w:textAlignment w:val="auto"/>
              <w:rPr>
                <w:rFonts w:hint="eastAsia" w:eastAsia="仿宋"/>
                <w:b w:val="0"/>
                <w:bCs w:val="0"/>
                <w:color w:val="auto"/>
                <w:lang w:val="en-US" w:eastAsia="zh-CN"/>
              </w:rPr>
            </w:pPr>
            <w:r>
              <w:rPr>
                <w:rFonts w:hint="eastAsia" w:eastAsia="仿宋"/>
                <w:b w:val="0"/>
                <w:bCs w:val="0"/>
                <w:color w:val="auto"/>
                <w:lang w:val="en-US" w:eastAsia="zh-CN"/>
              </w:rPr>
              <w:t>项目无组织废气监测点位、项目和频次详见表5-1。</w:t>
            </w:r>
          </w:p>
          <w:p w14:paraId="73ED2915">
            <w:pPr>
              <w:pStyle w:val="14"/>
              <w:keepNext w:val="0"/>
              <w:keepLines w:val="0"/>
              <w:pageBreakBefore w:val="0"/>
              <w:widowControl w:val="0"/>
              <w:kinsoku w:val="0"/>
              <w:wordWrap/>
              <w:overflowPunct w:val="0"/>
              <w:topLinePunct w:val="0"/>
              <w:bidi w:val="0"/>
              <w:snapToGrid/>
              <w:spacing w:line="500" w:lineRule="exact"/>
              <w:ind w:left="102" w:firstLine="422" w:firstLineChars="200"/>
              <w:jc w:val="center"/>
              <w:textAlignment w:val="auto"/>
              <w:rPr>
                <w:rFonts w:eastAsia="仿宋"/>
                <w:b/>
                <w:color w:val="auto"/>
                <w:kern w:val="2"/>
                <w:sz w:val="21"/>
                <w:szCs w:val="21"/>
              </w:rPr>
            </w:pPr>
            <w:r>
              <w:rPr>
                <w:rFonts w:eastAsia="仿宋"/>
                <w:b/>
                <w:color w:val="auto"/>
                <w:kern w:val="2"/>
                <w:sz w:val="21"/>
                <w:szCs w:val="21"/>
              </w:rPr>
              <w:t xml:space="preserve">表5-1 </w:t>
            </w:r>
            <w:r>
              <w:rPr>
                <w:rFonts w:hint="eastAsia" w:eastAsia="仿宋"/>
                <w:b/>
                <w:color w:val="auto"/>
                <w:kern w:val="2"/>
                <w:sz w:val="21"/>
                <w:szCs w:val="21"/>
                <w:lang w:val="en-US" w:eastAsia="zh-CN"/>
              </w:rPr>
              <w:t>无组织废气</w:t>
            </w:r>
            <w:r>
              <w:rPr>
                <w:rFonts w:hint="eastAsia" w:eastAsia="仿宋"/>
                <w:b/>
                <w:color w:val="auto"/>
                <w:kern w:val="2"/>
                <w:sz w:val="21"/>
                <w:szCs w:val="21"/>
              </w:rPr>
              <w:t>监测点位、项目和频次</w:t>
            </w:r>
            <w:r>
              <w:rPr>
                <w:rFonts w:eastAsia="仿宋"/>
                <w:b/>
                <w:color w:val="auto"/>
                <w:kern w:val="2"/>
                <w:sz w:val="21"/>
                <w:szCs w:val="21"/>
              </w:rPr>
              <w:t>表</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2525"/>
              <w:gridCol w:w="2234"/>
              <w:gridCol w:w="3380"/>
            </w:tblGrid>
            <w:tr w14:paraId="6EE3B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3290" w:type="dxa"/>
                  <w:gridSpan w:val="2"/>
                  <w:tcBorders>
                    <w:tl2br w:val="nil"/>
                    <w:tr2bl w:val="nil"/>
                  </w:tcBorders>
                  <w:vAlign w:val="center"/>
                </w:tcPr>
                <w:p w14:paraId="443A7EE6">
                  <w:pPr>
                    <w:pStyle w:val="14"/>
                    <w:kinsoku w:val="0"/>
                    <w:overflowPunct w:val="0"/>
                    <w:spacing w:line="300" w:lineRule="auto"/>
                    <w:jc w:val="center"/>
                    <w:rPr>
                      <w:rFonts w:hint="eastAsia" w:eastAsia="仿宋"/>
                      <w:color w:val="auto"/>
                      <w:sz w:val="21"/>
                      <w:szCs w:val="21"/>
                      <w:highlight w:val="none"/>
                    </w:rPr>
                  </w:pPr>
                  <w:r>
                    <w:rPr>
                      <w:rFonts w:hint="eastAsia" w:eastAsia="仿宋"/>
                      <w:color w:val="auto"/>
                      <w:sz w:val="21"/>
                      <w:szCs w:val="21"/>
                      <w:highlight w:val="none"/>
                    </w:rPr>
                    <w:t>名称</w:t>
                  </w:r>
                </w:p>
              </w:tc>
              <w:tc>
                <w:tcPr>
                  <w:tcW w:w="2075" w:type="dxa"/>
                  <w:tcBorders>
                    <w:tl2br w:val="nil"/>
                    <w:tr2bl w:val="nil"/>
                  </w:tcBorders>
                  <w:vAlign w:val="center"/>
                </w:tcPr>
                <w:p w14:paraId="0090A542">
                  <w:pPr>
                    <w:pStyle w:val="14"/>
                    <w:kinsoku w:val="0"/>
                    <w:overflowPunct w:val="0"/>
                    <w:spacing w:line="300" w:lineRule="auto"/>
                    <w:jc w:val="center"/>
                    <w:rPr>
                      <w:rFonts w:hint="eastAsia" w:eastAsia="仿宋"/>
                      <w:color w:val="auto"/>
                      <w:sz w:val="21"/>
                      <w:szCs w:val="21"/>
                      <w:highlight w:val="none"/>
                    </w:rPr>
                  </w:pPr>
                  <w:r>
                    <w:rPr>
                      <w:rFonts w:hint="eastAsia" w:eastAsia="仿宋"/>
                      <w:color w:val="auto"/>
                      <w:sz w:val="21"/>
                      <w:szCs w:val="21"/>
                      <w:highlight w:val="none"/>
                    </w:rPr>
                    <w:t>监测项目</w:t>
                  </w:r>
                </w:p>
              </w:tc>
              <w:tc>
                <w:tcPr>
                  <w:tcW w:w="3139" w:type="dxa"/>
                  <w:tcBorders>
                    <w:tl2br w:val="nil"/>
                    <w:tr2bl w:val="nil"/>
                  </w:tcBorders>
                  <w:vAlign w:val="center"/>
                </w:tcPr>
                <w:p w14:paraId="57AB8AEF">
                  <w:pPr>
                    <w:pStyle w:val="14"/>
                    <w:kinsoku w:val="0"/>
                    <w:overflowPunct w:val="0"/>
                    <w:spacing w:line="300" w:lineRule="auto"/>
                    <w:jc w:val="center"/>
                    <w:rPr>
                      <w:rFonts w:hint="eastAsia" w:eastAsia="仿宋"/>
                      <w:color w:val="auto"/>
                      <w:sz w:val="21"/>
                      <w:szCs w:val="21"/>
                      <w:highlight w:val="none"/>
                    </w:rPr>
                  </w:pPr>
                  <w:r>
                    <w:rPr>
                      <w:rFonts w:hint="eastAsia" w:eastAsia="仿宋"/>
                      <w:color w:val="auto"/>
                      <w:sz w:val="21"/>
                      <w:szCs w:val="21"/>
                      <w:highlight w:val="none"/>
                    </w:rPr>
                    <w:t>监测频次</w:t>
                  </w:r>
                </w:p>
              </w:tc>
            </w:tr>
            <w:tr w14:paraId="6068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290" w:type="dxa"/>
                  <w:gridSpan w:val="2"/>
                  <w:tcBorders>
                    <w:tl2br w:val="nil"/>
                    <w:tr2bl w:val="nil"/>
                  </w:tcBorders>
                  <w:vAlign w:val="center"/>
                </w:tcPr>
                <w:p w14:paraId="0A390226">
                  <w:pPr>
                    <w:pStyle w:val="14"/>
                    <w:kinsoku w:val="0"/>
                    <w:overflowPunct w:val="0"/>
                    <w:spacing w:line="300" w:lineRule="auto"/>
                    <w:jc w:val="center"/>
                    <w:rPr>
                      <w:rFonts w:hint="default" w:eastAsia="仿宋"/>
                      <w:color w:val="auto"/>
                      <w:sz w:val="21"/>
                      <w:szCs w:val="21"/>
                      <w:highlight w:val="none"/>
                      <w:lang w:val="en-US" w:eastAsia="zh-CN"/>
                    </w:rPr>
                  </w:pPr>
                  <w:r>
                    <w:rPr>
                      <w:rFonts w:hint="eastAsia" w:eastAsia="仿宋"/>
                      <w:color w:val="auto"/>
                      <w:sz w:val="21"/>
                      <w:szCs w:val="21"/>
                      <w:highlight w:val="none"/>
                      <w:lang w:val="en-US" w:eastAsia="zh-CN"/>
                    </w:rPr>
                    <w:t>丙烷/丁烷球罐区下风向</w:t>
                  </w:r>
                </w:p>
              </w:tc>
              <w:tc>
                <w:tcPr>
                  <w:tcW w:w="2075" w:type="dxa"/>
                  <w:vMerge w:val="restart"/>
                  <w:tcBorders>
                    <w:tl2br w:val="nil"/>
                    <w:tr2bl w:val="nil"/>
                  </w:tcBorders>
                  <w:vAlign w:val="center"/>
                </w:tcPr>
                <w:p w14:paraId="7D96FF81">
                  <w:pPr>
                    <w:pStyle w:val="14"/>
                    <w:kinsoku w:val="0"/>
                    <w:overflowPunct w:val="0"/>
                    <w:spacing w:line="300" w:lineRule="auto"/>
                    <w:jc w:val="center"/>
                    <w:rPr>
                      <w:rFonts w:hint="default" w:eastAsia="仿宋"/>
                      <w:color w:val="auto"/>
                      <w:sz w:val="21"/>
                      <w:szCs w:val="21"/>
                      <w:highlight w:val="none"/>
                      <w:lang w:val="en-US" w:eastAsia="zh-CN"/>
                    </w:rPr>
                  </w:pPr>
                  <w:r>
                    <w:rPr>
                      <w:rFonts w:hint="eastAsia" w:eastAsia="仿宋"/>
                      <w:color w:val="auto"/>
                      <w:sz w:val="21"/>
                      <w:szCs w:val="21"/>
                      <w:highlight w:val="none"/>
                      <w:lang w:val="en-US" w:eastAsia="zh-CN"/>
                    </w:rPr>
                    <w:t>非甲烷总烃</w:t>
                  </w:r>
                </w:p>
              </w:tc>
              <w:tc>
                <w:tcPr>
                  <w:tcW w:w="3139" w:type="dxa"/>
                  <w:vMerge w:val="restart"/>
                  <w:tcBorders>
                    <w:tl2br w:val="nil"/>
                    <w:tr2bl w:val="nil"/>
                  </w:tcBorders>
                  <w:vAlign w:val="center"/>
                </w:tcPr>
                <w:p w14:paraId="47AE41E6">
                  <w:pPr>
                    <w:pStyle w:val="14"/>
                    <w:kinsoku w:val="0"/>
                    <w:overflowPunct w:val="0"/>
                    <w:spacing w:line="300" w:lineRule="auto"/>
                    <w:jc w:val="center"/>
                    <w:rPr>
                      <w:rFonts w:hint="eastAsia" w:eastAsia="仿宋"/>
                      <w:color w:val="auto"/>
                      <w:sz w:val="21"/>
                      <w:szCs w:val="21"/>
                      <w:highlight w:val="none"/>
                    </w:rPr>
                  </w:pPr>
                  <w:r>
                    <w:rPr>
                      <w:rFonts w:hint="eastAsia" w:eastAsia="仿宋"/>
                      <w:color w:val="auto"/>
                      <w:sz w:val="21"/>
                      <w:szCs w:val="21"/>
                      <w:highlight w:val="none"/>
                    </w:rPr>
                    <w:t>连续2天、每天</w:t>
                  </w:r>
                  <w:r>
                    <w:rPr>
                      <w:rFonts w:hint="eastAsia" w:eastAsia="仿宋"/>
                      <w:color w:val="auto"/>
                      <w:sz w:val="21"/>
                      <w:szCs w:val="21"/>
                      <w:highlight w:val="none"/>
                      <w:lang w:val="en-US" w:eastAsia="zh-CN"/>
                    </w:rPr>
                    <w:t>3</w:t>
                  </w:r>
                  <w:r>
                    <w:rPr>
                      <w:rFonts w:hint="eastAsia" w:eastAsia="仿宋"/>
                      <w:color w:val="auto"/>
                      <w:sz w:val="21"/>
                      <w:szCs w:val="21"/>
                      <w:highlight w:val="none"/>
                    </w:rPr>
                    <w:t>次（根据排放规律，按规范采样）</w:t>
                  </w:r>
                </w:p>
              </w:tc>
            </w:tr>
            <w:tr w14:paraId="39631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3290" w:type="dxa"/>
                  <w:gridSpan w:val="2"/>
                  <w:tcBorders>
                    <w:tl2br w:val="nil"/>
                    <w:tr2bl w:val="nil"/>
                  </w:tcBorders>
                  <w:vAlign w:val="center"/>
                </w:tcPr>
                <w:p w14:paraId="2C78A1E9">
                  <w:pPr>
                    <w:pStyle w:val="14"/>
                    <w:kinsoku w:val="0"/>
                    <w:overflowPunct w:val="0"/>
                    <w:spacing w:line="300" w:lineRule="auto"/>
                    <w:jc w:val="center"/>
                    <w:rPr>
                      <w:rFonts w:hint="default" w:eastAsia="仿宋"/>
                      <w:color w:val="auto"/>
                      <w:sz w:val="21"/>
                      <w:szCs w:val="21"/>
                      <w:highlight w:val="none"/>
                      <w:lang w:val="en-US" w:eastAsia="zh-CN"/>
                    </w:rPr>
                  </w:pPr>
                  <w:r>
                    <w:rPr>
                      <w:rFonts w:hint="eastAsia" w:eastAsia="仿宋"/>
                      <w:color w:val="auto"/>
                      <w:sz w:val="21"/>
                      <w:szCs w:val="21"/>
                      <w:highlight w:val="none"/>
                      <w:lang w:val="en-US" w:eastAsia="zh-CN"/>
                    </w:rPr>
                    <w:t>其他罐组区域下风向</w:t>
                  </w:r>
                </w:p>
              </w:tc>
              <w:tc>
                <w:tcPr>
                  <w:tcW w:w="2075" w:type="dxa"/>
                  <w:vMerge w:val="continue"/>
                  <w:tcBorders>
                    <w:tl2br w:val="nil"/>
                    <w:tr2bl w:val="nil"/>
                  </w:tcBorders>
                  <w:vAlign w:val="center"/>
                </w:tcPr>
                <w:p w14:paraId="08E87271">
                  <w:pPr>
                    <w:pStyle w:val="14"/>
                    <w:kinsoku w:val="0"/>
                    <w:overflowPunct w:val="0"/>
                    <w:spacing w:line="300" w:lineRule="auto"/>
                    <w:jc w:val="center"/>
                    <w:rPr>
                      <w:rFonts w:hint="eastAsia" w:eastAsia="仿宋"/>
                      <w:color w:val="auto"/>
                      <w:sz w:val="21"/>
                      <w:szCs w:val="21"/>
                      <w:highlight w:val="none"/>
                    </w:rPr>
                  </w:pPr>
                </w:p>
              </w:tc>
              <w:tc>
                <w:tcPr>
                  <w:tcW w:w="3139" w:type="dxa"/>
                  <w:vMerge w:val="continue"/>
                  <w:tcBorders>
                    <w:tl2br w:val="nil"/>
                    <w:tr2bl w:val="nil"/>
                  </w:tcBorders>
                  <w:vAlign w:val="center"/>
                </w:tcPr>
                <w:p w14:paraId="4DC6E7E2">
                  <w:pPr>
                    <w:pStyle w:val="14"/>
                    <w:kinsoku w:val="0"/>
                    <w:overflowPunct w:val="0"/>
                    <w:spacing w:line="300" w:lineRule="auto"/>
                    <w:jc w:val="center"/>
                    <w:rPr>
                      <w:rFonts w:hint="eastAsia" w:eastAsia="仿宋"/>
                      <w:color w:val="auto"/>
                      <w:sz w:val="21"/>
                      <w:szCs w:val="21"/>
                      <w:highlight w:val="none"/>
                    </w:rPr>
                  </w:pPr>
                </w:p>
              </w:tc>
            </w:tr>
            <w:tr w14:paraId="5F9F4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3290" w:type="dxa"/>
                  <w:gridSpan w:val="2"/>
                  <w:tcBorders>
                    <w:tl2br w:val="nil"/>
                    <w:tr2bl w:val="nil"/>
                  </w:tcBorders>
                  <w:vAlign w:val="center"/>
                </w:tcPr>
                <w:p w14:paraId="5C4792B7">
                  <w:pPr>
                    <w:pStyle w:val="14"/>
                    <w:kinsoku w:val="0"/>
                    <w:overflowPunct w:val="0"/>
                    <w:spacing w:line="300" w:lineRule="auto"/>
                    <w:jc w:val="center"/>
                    <w:rPr>
                      <w:rFonts w:hint="default" w:eastAsia="仿宋"/>
                      <w:color w:val="auto"/>
                      <w:sz w:val="21"/>
                      <w:szCs w:val="21"/>
                      <w:highlight w:val="none"/>
                      <w:lang w:val="en-US" w:eastAsia="zh-CN"/>
                    </w:rPr>
                  </w:pPr>
                  <w:r>
                    <w:rPr>
                      <w:rFonts w:hint="eastAsia" w:eastAsia="仿宋"/>
                      <w:color w:val="auto"/>
                      <w:sz w:val="21"/>
                      <w:szCs w:val="21"/>
                      <w:highlight w:val="none"/>
                      <w:lang w:val="en-US" w:eastAsia="zh-CN"/>
                    </w:rPr>
                    <w:t>地面火炬系统下风向</w:t>
                  </w:r>
                </w:p>
              </w:tc>
              <w:tc>
                <w:tcPr>
                  <w:tcW w:w="2075" w:type="dxa"/>
                  <w:vMerge w:val="continue"/>
                  <w:tcBorders>
                    <w:tl2br w:val="nil"/>
                    <w:tr2bl w:val="nil"/>
                  </w:tcBorders>
                  <w:vAlign w:val="center"/>
                </w:tcPr>
                <w:p w14:paraId="7FAF035E">
                  <w:pPr>
                    <w:pStyle w:val="14"/>
                    <w:kinsoku w:val="0"/>
                    <w:overflowPunct w:val="0"/>
                    <w:spacing w:line="300" w:lineRule="auto"/>
                    <w:jc w:val="center"/>
                    <w:rPr>
                      <w:rFonts w:hint="eastAsia" w:eastAsia="仿宋"/>
                      <w:color w:val="auto"/>
                      <w:sz w:val="21"/>
                      <w:szCs w:val="21"/>
                      <w:highlight w:val="none"/>
                    </w:rPr>
                  </w:pPr>
                </w:p>
              </w:tc>
              <w:tc>
                <w:tcPr>
                  <w:tcW w:w="3139" w:type="dxa"/>
                  <w:vMerge w:val="continue"/>
                  <w:tcBorders>
                    <w:tl2br w:val="nil"/>
                    <w:tr2bl w:val="nil"/>
                  </w:tcBorders>
                  <w:vAlign w:val="center"/>
                </w:tcPr>
                <w:p w14:paraId="23040A72">
                  <w:pPr>
                    <w:pStyle w:val="14"/>
                    <w:kinsoku w:val="0"/>
                    <w:overflowPunct w:val="0"/>
                    <w:spacing w:line="300" w:lineRule="auto"/>
                    <w:jc w:val="center"/>
                    <w:rPr>
                      <w:rFonts w:hint="eastAsia" w:eastAsia="仿宋"/>
                      <w:color w:val="auto"/>
                      <w:sz w:val="21"/>
                      <w:szCs w:val="21"/>
                      <w:highlight w:val="none"/>
                    </w:rPr>
                  </w:pPr>
                </w:p>
              </w:tc>
            </w:tr>
            <w:tr w14:paraId="2DACD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45" w:type="dxa"/>
                  <w:vMerge w:val="restart"/>
                  <w:tcBorders>
                    <w:tl2br w:val="nil"/>
                    <w:tr2bl w:val="nil"/>
                  </w:tcBorders>
                  <w:vAlign w:val="center"/>
                </w:tcPr>
                <w:p w14:paraId="6768D8AD">
                  <w:pPr>
                    <w:pStyle w:val="14"/>
                    <w:kinsoku w:val="0"/>
                    <w:overflowPunct w:val="0"/>
                    <w:spacing w:line="300" w:lineRule="auto"/>
                    <w:jc w:val="center"/>
                    <w:rPr>
                      <w:rFonts w:hint="eastAsia" w:eastAsia="仿宋"/>
                      <w:color w:val="auto"/>
                      <w:sz w:val="21"/>
                      <w:szCs w:val="21"/>
                      <w:highlight w:val="none"/>
                    </w:rPr>
                  </w:pPr>
                  <w:r>
                    <w:rPr>
                      <w:rFonts w:hint="eastAsia" w:eastAsia="仿宋"/>
                      <w:color w:val="auto"/>
                      <w:sz w:val="21"/>
                      <w:szCs w:val="21"/>
                      <w:highlight w:val="none"/>
                    </w:rPr>
                    <w:t>无组织废气</w:t>
                  </w:r>
                </w:p>
              </w:tc>
              <w:tc>
                <w:tcPr>
                  <w:tcW w:w="2345" w:type="dxa"/>
                  <w:tcBorders>
                    <w:tl2br w:val="nil"/>
                    <w:tr2bl w:val="nil"/>
                  </w:tcBorders>
                  <w:vAlign w:val="center"/>
                </w:tcPr>
                <w:p w14:paraId="203005D8">
                  <w:pPr>
                    <w:pStyle w:val="14"/>
                    <w:kinsoku w:val="0"/>
                    <w:overflowPunct w:val="0"/>
                    <w:spacing w:line="300" w:lineRule="auto"/>
                    <w:jc w:val="center"/>
                    <w:rPr>
                      <w:rFonts w:hint="eastAsia" w:eastAsia="仿宋"/>
                      <w:color w:val="auto"/>
                      <w:sz w:val="21"/>
                      <w:szCs w:val="21"/>
                      <w:highlight w:val="none"/>
                    </w:rPr>
                  </w:pPr>
                  <w:r>
                    <w:rPr>
                      <w:rFonts w:hint="eastAsia" w:eastAsia="仿宋"/>
                      <w:color w:val="auto"/>
                      <w:sz w:val="21"/>
                      <w:szCs w:val="21"/>
                      <w:highlight w:val="none"/>
                    </w:rPr>
                    <w:t>上风向（1个点位）</w:t>
                  </w:r>
                </w:p>
              </w:tc>
              <w:tc>
                <w:tcPr>
                  <w:tcW w:w="2075" w:type="dxa"/>
                  <w:vMerge w:val="restart"/>
                  <w:tcBorders>
                    <w:tl2br w:val="nil"/>
                    <w:tr2bl w:val="nil"/>
                  </w:tcBorders>
                  <w:vAlign w:val="center"/>
                </w:tcPr>
                <w:p w14:paraId="12BFA517">
                  <w:pPr>
                    <w:pStyle w:val="14"/>
                    <w:kinsoku w:val="0"/>
                    <w:overflowPunct w:val="0"/>
                    <w:spacing w:line="300" w:lineRule="auto"/>
                    <w:jc w:val="center"/>
                    <w:rPr>
                      <w:rFonts w:hint="default" w:eastAsia="仿宋"/>
                      <w:color w:val="auto"/>
                      <w:sz w:val="21"/>
                      <w:szCs w:val="21"/>
                      <w:highlight w:val="none"/>
                      <w:lang w:val="en-US" w:eastAsia="zh-CN"/>
                    </w:rPr>
                  </w:pPr>
                  <w:r>
                    <w:rPr>
                      <w:rFonts w:hint="eastAsia" w:eastAsia="仿宋"/>
                      <w:color w:val="auto"/>
                      <w:sz w:val="21"/>
                      <w:szCs w:val="21"/>
                      <w:highlight w:val="none"/>
                      <w:lang w:val="en-US" w:eastAsia="zh-CN"/>
                    </w:rPr>
                    <w:t>非甲烷总烃</w:t>
                  </w:r>
                </w:p>
              </w:tc>
              <w:tc>
                <w:tcPr>
                  <w:tcW w:w="3139" w:type="dxa"/>
                  <w:vMerge w:val="restart"/>
                  <w:tcBorders>
                    <w:tl2br w:val="nil"/>
                    <w:tr2bl w:val="nil"/>
                  </w:tcBorders>
                  <w:vAlign w:val="center"/>
                </w:tcPr>
                <w:p w14:paraId="1A109A6C">
                  <w:pPr>
                    <w:pStyle w:val="14"/>
                    <w:kinsoku w:val="0"/>
                    <w:overflowPunct w:val="0"/>
                    <w:spacing w:line="300" w:lineRule="auto"/>
                    <w:jc w:val="center"/>
                    <w:rPr>
                      <w:rFonts w:hint="eastAsia" w:eastAsia="仿宋"/>
                      <w:color w:val="auto"/>
                      <w:sz w:val="21"/>
                      <w:szCs w:val="21"/>
                      <w:highlight w:val="none"/>
                    </w:rPr>
                  </w:pPr>
                  <w:r>
                    <w:rPr>
                      <w:rFonts w:hint="eastAsia" w:eastAsia="仿宋"/>
                      <w:color w:val="auto"/>
                      <w:sz w:val="21"/>
                      <w:szCs w:val="21"/>
                      <w:highlight w:val="none"/>
                    </w:rPr>
                    <w:t>连续2天、每天</w:t>
                  </w:r>
                  <w:r>
                    <w:rPr>
                      <w:rFonts w:hint="eastAsia" w:eastAsia="仿宋"/>
                      <w:color w:val="auto"/>
                      <w:sz w:val="21"/>
                      <w:szCs w:val="21"/>
                      <w:highlight w:val="none"/>
                      <w:lang w:val="en-US" w:eastAsia="zh-CN"/>
                    </w:rPr>
                    <w:t>3</w:t>
                  </w:r>
                  <w:r>
                    <w:rPr>
                      <w:rFonts w:hint="eastAsia" w:eastAsia="仿宋"/>
                      <w:color w:val="auto"/>
                      <w:sz w:val="21"/>
                      <w:szCs w:val="21"/>
                      <w:highlight w:val="none"/>
                    </w:rPr>
                    <w:t>次（根据排放规律，按规范采样）</w:t>
                  </w:r>
                </w:p>
              </w:tc>
            </w:tr>
            <w:tr w14:paraId="6E2C1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45" w:type="dxa"/>
                  <w:vMerge w:val="continue"/>
                  <w:tcBorders>
                    <w:tl2br w:val="nil"/>
                    <w:tr2bl w:val="nil"/>
                  </w:tcBorders>
                  <w:vAlign w:val="center"/>
                </w:tcPr>
                <w:p w14:paraId="61FFE5CB">
                  <w:pPr>
                    <w:pStyle w:val="14"/>
                    <w:kinsoku w:val="0"/>
                    <w:overflowPunct w:val="0"/>
                    <w:spacing w:line="300" w:lineRule="auto"/>
                    <w:jc w:val="center"/>
                    <w:rPr>
                      <w:rFonts w:hint="eastAsia" w:eastAsia="仿宋"/>
                      <w:color w:val="auto"/>
                      <w:sz w:val="21"/>
                      <w:szCs w:val="21"/>
                      <w:highlight w:val="yellow"/>
                    </w:rPr>
                  </w:pPr>
                </w:p>
              </w:tc>
              <w:tc>
                <w:tcPr>
                  <w:tcW w:w="2345" w:type="dxa"/>
                  <w:tcBorders>
                    <w:tl2br w:val="nil"/>
                    <w:tr2bl w:val="nil"/>
                  </w:tcBorders>
                  <w:vAlign w:val="center"/>
                </w:tcPr>
                <w:p w14:paraId="4E167CA4">
                  <w:pPr>
                    <w:pStyle w:val="14"/>
                    <w:kinsoku w:val="0"/>
                    <w:overflowPunct w:val="0"/>
                    <w:spacing w:line="300" w:lineRule="auto"/>
                    <w:jc w:val="center"/>
                    <w:rPr>
                      <w:rFonts w:hint="eastAsia" w:eastAsia="仿宋"/>
                      <w:color w:val="auto"/>
                      <w:sz w:val="21"/>
                      <w:szCs w:val="21"/>
                      <w:highlight w:val="none"/>
                    </w:rPr>
                  </w:pPr>
                  <w:r>
                    <w:rPr>
                      <w:rFonts w:hint="eastAsia" w:eastAsia="仿宋"/>
                      <w:color w:val="auto"/>
                      <w:sz w:val="21"/>
                      <w:szCs w:val="21"/>
                      <w:highlight w:val="none"/>
                    </w:rPr>
                    <w:t>下风向（3个点位）</w:t>
                  </w:r>
                </w:p>
              </w:tc>
              <w:tc>
                <w:tcPr>
                  <w:tcW w:w="2075" w:type="dxa"/>
                  <w:vMerge w:val="continue"/>
                  <w:tcBorders>
                    <w:tl2br w:val="nil"/>
                    <w:tr2bl w:val="nil"/>
                  </w:tcBorders>
                  <w:vAlign w:val="center"/>
                </w:tcPr>
                <w:p w14:paraId="62EB1E7B">
                  <w:pPr>
                    <w:ind w:left="2" w:hanging="1"/>
                    <w:jc w:val="center"/>
                    <w:rPr>
                      <w:rFonts w:ascii="Times New Roman" w:hAnsi="Times New Roman" w:eastAsia="宋体" w:cs="Times New Roman"/>
                      <w:color w:val="auto"/>
                      <w:szCs w:val="21"/>
                    </w:rPr>
                  </w:pPr>
                </w:p>
              </w:tc>
              <w:tc>
                <w:tcPr>
                  <w:tcW w:w="3139" w:type="dxa"/>
                  <w:vMerge w:val="continue"/>
                  <w:tcBorders>
                    <w:tl2br w:val="nil"/>
                    <w:tr2bl w:val="nil"/>
                  </w:tcBorders>
                  <w:vAlign w:val="center"/>
                </w:tcPr>
                <w:p w14:paraId="0ADC8EA4">
                  <w:pPr>
                    <w:snapToGrid w:val="0"/>
                    <w:jc w:val="center"/>
                    <w:rPr>
                      <w:rFonts w:ascii="Times New Roman" w:hAnsi="Times New Roman" w:eastAsia="宋体" w:cs="Times New Roman"/>
                      <w:color w:val="auto"/>
                      <w:szCs w:val="21"/>
                    </w:rPr>
                  </w:pPr>
                </w:p>
              </w:tc>
            </w:tr>
          </w:tbl>
          <w:p w14:paraId="4DAB687D">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firstLine="482" w:firstLineChars="200"/>
              <w:jc w:val="both"/>
              <w:textAlignment w:val="auto"/>
              <w:rPr>
                <w:rFonts w:hint="eastAsia" w:eastAsia="仿宋"/>
                <w:b/>
                <w:bCs/>
                <w:color w:val="auto"/>
                <w:lang w:val="en-US" w:eastAsia="zh-CN"/>
              </w:rPr>
            </w:pPr>
            <w:r>
              <w:rPr>
                <w:rFonts w:hint="eastAsia" w:eastAsia="仿宋"/>
                <w:b/>
                <w:bCs/>
                <w:color w:val="auto"/>
                <w:lang w:val="en-US" w:eastAsia="zh-CN"/>
              </w:rPr>
              <w:t>2、厂界噪声监测</w:t>
            </w:r>
            <w:bookmarkEnd w:id="2"/>
            <w:bookmarkEnd w:id="3"/>
          </w:p>
          <w:p w14:paraId="3FAA4EAB">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firstLine="480" w:firstLineChars="200"/>
              <w:jc w:val="both"/>
              <w:textAlignment w:val="auto"/>
              <w:rPr>
                <w:rFonts w:hint="eastAsia" w:eastAsia="仿宋"/>
                <w:b w:val="0"/>
                <w:bCs w:val="0"/>
                <w:color w:val="auto"/>
                <w:lang w:val="en-US" w:eastAsia="zh-CN"/>
              </w:rPr>
            </w:pPr>
            <w:r>
              <w:rPr>
                <w:rFonts w:hint="eastAsia" w:eastAsia="仿宋"/>
                <w:b w:val="0"/>
                <w:bCs w:val="0"/>
                <w:color w:val="auto"/>
                <w:lang w:val="en-US" w:eastAsia="zh-CN"/>
              </w:rPr>
              <w:t>项目噪声监测点位、项目和频次见表5-2。</w:t>
            </w:r>
          </w:p>
          <w:p w14:paraId="2F552189">
            <w:pPr>
              <w:pStyle w:val="14"/>
              <w:keepNext w:val="0"/>
              <w:keepLines w:val="0"/>
              <w:pageBreakBefore w:val="0"/>
              <w:widowControl w:val="0"/>
              <w:kinsoku w:val="0"/>
              <w:wordWrap/>
              <w:overflowPunct w:val="0"/>
              <w:topLinePunct w:val="0"/>
              <w:bidi w:val="0"/>
              <w:snapToGrid/>
              <w:spacing w:line="500" w:lineRule="exact"/>
              <w:ind w:left="102" w:firstLine="422" w:firstLineChars="200"/>
              <w:jc w:val="center"/>
              <w:textAlignment w:val="auto"/>
              <w:rPr>
                <w:rFonts w:eastAsia="仿宋"/>
                <w:b/>
                <w:color w:val="auto"/>
                <w:kern w:val="2"/>
                <w:sz w:val="21"/>
                <w:szCs w:val="21"/>
              </w:rPr>
            </w:pPr>
            <w:r>
              <w:rPr>
                <w:rFonts w:eastAsia="仿宋"/>
                <w:b/>
                <w:color w:val="auto"/>
                <w:kern w:val="2"/>
                <w:sz w:val="21"/>
                <w:szCs w:val="21"/>
              </w:rPr>
              <w:t xml:space="preserve">表5-2 </w:t>
            </w:r>
            <w:r>
              <w:rPr>
                <w:rFonts w:hint="eastAsia" w:eastAsia="仿宋"/>
                <w:b/>
                <w:color w:val="auto"/>
                <w:kern w:val="2"/>
                <w:sz w:val="21"/>
                <w:szCs w:val="21"/>
                <w:lang w:val="en-US" w:eastAsia="zh-CN"/>
              </w:rPr>
              <w:t>项目噪声</w:t>
            </w:r>
            <w:r>
              <w:rPr>
                <w:rFonts w:hint="eastAsia" w:eastAsia="仿宋"/>
                <w:b/>
                <w:color w:val="auto"/>
                <w:kern w:val="2"/>
                <w:sz w:val="21"/>
                <w:szCs w:val="21"/>
              </w:rPr>
              <w:t>监测点位、项目和频次</w:t>
            </w:r>
            <w:r>
              <w:rPr>
                <w:rFonts w:eastAsia="仿宋"/>
                <w:b/>
                <w:color w:val="auto"/>
                <w:kern w:val="2"/>
                <w:sz w:val="21"/>
                <w:szCs w:val="21"/>
              </w:rPr>
              <w:t>表</w:t>
            </w:r>
          </w:p>
          <w:tbl>
            <w:tblPr>
              <w:tblStyle w:val="7"/>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414"/>
              <w:gridCol w:w="1883"/>
              <w:gridCol w:w="2860"/>
            </w:tblGrid>
            <w:tr w14:paraId="6AAECD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97" w:hRule="atLeast"/>
                <w:jc w:val="center"/>
              </w:trPr>
              <w:tc>
                <w:tcPr>
                  <w:tcW w:w="451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3120C117">
                  <w:pPr>
                    <w:pStyle w:val="14"/>
                    <w:kinsoku w:val="0"/>
                    <w:overflowPunct w:val="0"/>
                    <w:spacing w:line="300" w:lineRule="auto"/>
                    <w:jc w:val="center"/>
                    <w:rPr>
                      <w:rFonts w:hint="eastAsia" w:eastAsia="仿宋"/>
                      <w:color w:val="auto"/>
                      <w:sz w:val="21"/>
                      <w:szCs w:val="21"/>
                      <w:highlight w:val="none"/>
                    </w:rPr>
                  </w:pPr>
                  <w:r>
                    <w:rPr>
                      <w:rFonts w:hint="eastAsia" w:eastAsia="仿宋"/>
                      <w:color w:val="auto"/>
                      <w:sz w:val="21"/>
                      <w:szCs w:val="21"/>
                      <w:highlight w:val="none"/>
                    </w:rPr>
                    <w:t>监测点位</w:t>
                  </w:r>
                </w:p>
              </w:tc>
              <w:tc>
                <w:tcPr>
                  <w:tcW w:w="192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6C6BDF19">
                  <w:pPr>
                    <w:pStyle w:val="14"/>
                    <w:kinsoku w:val="0"/>
                    <w:overflowPunct w:val="0"/>
                    <w:spacing w:line="300" w:lineRule="auto"/>
                    <w:jc w:val="center"/>
                    <w:rPr>
                      <w:rFonts w:hint="eastAsia" w:eastAsia="仿宋"/>
                      <w:color w:val="auto"/>
                      <w:sz w:val="21"/>
                      <w:szCs w:val="21"/>
                      <w:highlight w:val="none"/>
                    </w:rPr>
                  </w:pPr>
                  <w:r>
                    <w:rPr>
                      <w:rFonts w:hint="eastAsia" w:eastAsia="仿宋"/>
                      <w:color w:val="auto"/>
                      <w:sz w:val="21"/>
                      <w:szCs w:val="21"/>
                      <w:highlight w:val="none"/>
                    </w:rPr>
                    <w:t>监测项目</w:t>
                  </w:r>
                </w:p>
              </w:tc>
              <w:tc>
                <w:tcPr>
                  <w:tcW w:w="2921"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264D7A1C">
                  <w:pPr>
                    <w:pStyle w:val="14"/>
                    <w:kinsoku w:val="0"/>
                    <w:overflowPunct w:val="0"/>
                    <w:spacing w:line="300" w:lineRule="auto"/>
                    <w:jc w:val="center"/>
                    <w:rPr>
                      <w:rFonts w:hint="eastAsia" w:eastAsia="仿宋"/>
                      <w:color w:val="auto"/>
                      <w:sz w:val="21"/>
                      <w:szCs w:val="21"/>
                      <w:highlight w:val="none"/>
                    </w:rPr>
                  </w:pPr>
                  <w:r>
                    <w:rPr>
                      <w:rFonts w:hint="eastAsia" w:eastAsia="仿宋"/>
                      <w:color w:val="auto"/>
                      <w:sz w:val="21"/>
                      <w:szCs w:val="21"/>
                      <w:highlight w:val="none"/>
                    </w:rPr>
                    <w:t>监测频次</w:t>
                  </w:r>
                </w:p>
              </w:tc>
            </w:tr>
            <w:tr w14:paraId="56E4D9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451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4AA82CD4">
                  <w:pPr>
                    <w:pStyle w:val="14"/>
                    <w:kinsoku w:val="0"/>
                    <w:overflowPunct w:val="0"/>
                    <w:spacing w:line="300" w:lineRule="auto"/>
                    <w:jc w:val="center"/>
                    <w:rPr>
                      <w:rFonts w:hint="eastAsia" w:eastAsia="仿宋"/>
                      <w:color w:val="auto"/>
                      <w:sz w:val="21"/>
                      <w:szCs w:val="21"/>
                      <w:highlight w:val="none"/>
                    </w:rPr>
                  </w:pPr>
                  <w:r>
                    <w:rPr>
                      <w:rFonts w:hint="eastAsia" w:eastAsia="仿宋"/>
                      <w:color w:val="auto"/>
                      <w:sz w:val="21"/>
                      <w:szCs w:val="21"/>
                      <w:highlight w:val="none"/>
                    </w:rPr>
                    <w:t>在</w:t>
                  </w:r>
                  <w:r>
                    <w:rPr>
                      <w:rFonts w:hint="eastAsia" w:eastAsia="仿宋"/>
                      <w:color w:val="auto"/>
                      <w:sz w:val="21"/>
                      <w:szCs w:val="21"/>
                      <w:highlight w:val="none"/>
                      <w:lang w:val="en-US" w:eastAsia="zh-CN"/>
                    </w:rPr>
                    <w:t>东、西、南、北四个</w:t>
                  </w:r>
                  <w:r>
                    <w:rPr>
                      <w:rFonts w:hint="eastAsia" w:eastAsia="仿宋"/>
                      <w:color w:val="auto"/>
                      <w:sz w:val="21"/>
                      <w:szCs w:val="21"/>
                      <w:highlight w:val="none"/>
                    </w:rPr>
                    <w:t>厂界外1米</w:t>
                  </w:r>
                  <w:r>
                    <w:rPr>
                      <w:rFonts w:hint="eastAsia" w:eastAsia="仿宋"/>
                      <w:color w:val="auto"/>
                      <w:sz w:val="21"/>
                      <w:szCs w:val="21"/>
                      <w:highlight w:val="none"/>
                      <w:lang w:val="en-US" w:eastAsia="zh-CN"/>
                    </w:rPr>
                    <w:t>各布置1</w:t>
                  </w:r>
                  <w:r>
                    <w:rPr>
                      <w:rFonts w:hint="eastAsia" w:eastAsia="仿宋"/>
                      <w:color w:val="auto"/>
                      <w:sz w:val="21"/>
                      <w:szCs w:val="21"/>
                      <w:highlight w:val="none"/>
                    </w:rPr>
                    <w:t>个测点</w:t>
                  </w:r>
                </w:p>
              </w:tc>
              <w:tc>
                <w:tcPr>
                  <w:tcW w:w="192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6D4ACBA1">
                  <w:pPr>
                    <w:pStyle w:val="14"/>
                    <w:kinsoku w:val="0"/>
                    <w:overflowPunct w:val="0"/>
                    <w:spacing w:line="300" w:lineRule="auto"/>
                    <w:jc w:val="center"/>
                    <w:rPr>
                      <w:rFonts w:hint="eastAsia" w:eastAsia="仿宋"/>
                      <w:color w:val="auto"/>
                      <w:sz w:val="21"/>
                      <w:szCs w:val="21"/>
                      <w:highlight w:val="none"/>
                    </w:rPr>
                  </w:pPr>
                  <w:r>
                    <w:rPr>
                      <w:rFonts w:hint="eastAsia" w:eastAsia="仿宋"/>
                      <w:color w:val="auto"/>
                      <w:sz w:val="21"/>
                      <w:szCs w:val="21"/>
                      <w:highlight w:val="none"/>
                    </w:rPr>
                    <w:t>等效A声级Leq(A)</w:t>
                  </w:r>
                </w:p>
              </w:tc>
              <w:tc>
                <w:tcPr>
                  <w:tcW w:w="2921"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16B4E0E3">
                  <w:pPr>
                    <w:pStyle w:val="14"/>
                    <w:kinsoku w:val="0"/>
                    <w:overflowPunct w:val="0"/>
                    <w:spacing w:line="300" w:lineRule="auto"/>
                    <w:jc w:val="center"/>
                    <w:rPr>
                      <w:rFonts w:hint="eastAsia" w:eastAsia="仿宋"/>
                      <w:color w:val="auto"/>
                      <w:sz w:val="21"/>
                      <w:szCs w:val="21"/>
                      <w:highlight w:val="none"/>
                    </w:rPr>
                  </w:pPr>
                  <w:r>
                    <w:rPr>
                      <w:rFonts w:hint="eastAsia" w:eastAsia="仿宋"/>
                      <w:color w:val="auto"/>
                      <w:sz w:val="21"/>
                      <w:szCs w:val="21"/>
                      <w:highlight w:val="none"/>
                    </w:rPr>
                    <w:t>昼间1次，夜间1次，连续2天</w:t>
                  </w:r>
                </w:p>
              </w:tc>
            </w:tr>
          </w:tbl>
          <w:p w14:paraId="2AD8D0E5">
            <w:pPr>
              <w:pStyle w:val="14"/>
              <w:keepNext w:val="0"/>
              <w:keepLines w:val="0"/>
              <w:pageBreakBefore w:val="0"/>
              <w:widowControl w:val="0"/>
              <w:kinsoku w:val="0"/>
              <w:wordWrap/>
              <w:overflowPunct w:val="0"/>
              <w:topLinePunct w:val="0"/>
              <w:autoSpaceDE w:val="0"/>
              <w:autoSpaceDN w:val="0"/>
              <w:bidi w:val="0"/>
              <w:adjustRightInd/>
              <w:snapToGrid/>
              <w:spacing w:line="500" w:lineRule="exact"/>
              <w:ind w:firstLine="480" w:firstLineChars="200"/>
              <w:jc w:val="both"/>
              <w:textAlignment w:val="auto"/>
              <w:rPr>
                <w:rFonts w:hint="eastAsia" w:eastAsia="仿宋"/>
                <w:b w:val="0"/>
                <w:bCs w:val="0"/>
                <w:color w:val="auto"/>
                <w:lang w:val="en-US" w:eastAsia="zh-CN"/>
              </w:rPr>
            </w:pPr>
            <w:r>
              <w:rPr>
                <w:rFonts w:hint="eastAsia" w:eastAsia="仿宋"/>
                <w:b w:val="0"/>
                <w:bCs w:val="0"/>
                <w:color w:val="auto"/>
                <w:lang w:val="en-US" w:eastAsia="zh-CN"/>
              </w:rPr>
              <w:t>本次验收无组织废气及噪声进检测结果内容如下：</w:t>
            </w:r>
          </w:p>
          <w:p w14:paraId="3143D76E">
            <w:pPr>
              <w:pStyle w:val="14"/>
              <w:keepNext w:val="0"/>
              <w:keepLines w:val="0"/>
              <w:pageBreakBefore w:val="0"/>
              <w:widowControl w:val="0"/>
              <w:kinsoku w:val="0"/>
              <w:wordWrap/>
              <w:overflowPunct w:val="0"/>
              <w:topLinePunct w:val="0"/>
              <w:bidi w:val="0"/>
              <w:snapToGrid/>
              <w:spacing w:line="500" w:lineRule="exact"/>
              <w:ind w:left="102" w:firstLine="422" w:firstLineChars="200"/>
              <w:jc w:val="center"/>
              <w:textAlignment w:val="auto"/>
              <w:rPr>
                <w:rFonts w:eastAsia="仿宋"/>
                <w:b/>
                <w:color w:val="auto"/>
                <w:kern w:val="2"/>
                <w:sz w:val="21"/>
                <w:szCs w:val="21"/>
                <w:highlight w:val="none"/>
              </w:rPr>
            </w:pPr>
            <w:r>
              <w:rPr>
                <w:rFonts w:eastAsia="仿宋"/>
                <w:b/>
                <w:color w:val="auto"/>
                <w:kern w:val="2"/>
                <w:sz w:val="21"/>
                <w:szCs w:val="21"/>
                <w:highlight w:val="none"/>
              </w:rPr>
              <w:t>表5-3 无组织废气检测结果表</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5"/>
              <w:gridCol w:w="1388"/>
              <w:gridCol w:w="869"/>
              <w:gridCol w:w="894"/>
              <w:gridCol w:w="934"/>
              <w:gridCol w:w="973"/>
              <w:gridCol w:w="947"/>
              <w:gridCol w:w="934"/>
              <w:gridCol w:w="843"/>
            </w:tblGrid>
            <w:tr w14:paraId="398A2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pct"/>
                  <w:vMerge w:val="restart"/>
                  <w:vAlign w:val="center"/>
                </w:tcPr>
                <w:p w14:paraId="19032238">
                  <w:pPr>
                    <w:pStyle w:val="14"/>
                    <w:keepNext w:val="0"/>
                    <w:keepLines w:val="0"/>
                    <w:pageBreakBefore w:val="0"/>
                    <w:kinsoku w:val="0"/>
                    <w:wordWrap/>
                    <w:overflowPunct w:val="0"/>
                    <w:topLinePunct w:val="0"/>
                    <w:autoSpaceDE w:val="0"/>
                    <w:autoSpaceDN w:val="0"/>
                    <w:bidi w:val="0"/>
                    <w:adjustRightInd w:val="0"/>
                    <w:snapToGrid/>
                    <w:spacing w:line="240" w:lineRule="auto"/>
                    <w:jc w:val="center"/>
                    <w:textAlignment w:val="auto"/>
                    <w:rPr>
                      <w:rFonts w:hint="eastAsia" w:eastAsia="仿宋"/>
                      <w:color w:val="auto"/>
                      <w:sz w:val="21"/>
                      <w:szCs w:val="21"/>
                      <w:highlight w:val="none"/>
                    </w:rPr>
                  </w:pPr>
                  <w:r>
                    <w:rPr>
                      <w:rFonts w:hint="eastAsia" w:eastAsia="仿宋"/>
                      <w:color w:val="auto"/>
                      <w:sz w:val="21"/>
                      <w:szCs w:val="21"/>
                      <w:highlight w:val="none"/>
                    </w:rPr>
                    <w:t>检测点位</w:t>
                  </w:r>
                </w:p>
              </w:tc>
              <w:tc>
                <w:tcPr>
                  <w:tcW w:w="757" w:type="pct"/>
                  <w:vMerge w:val="restart"/>
                  <w:vAlign w:val="center"/>
                </w:tcPr>
                <w:p w14:paraId="76F868F7">
                  <w:pPr>
                    <w:pStyle w:val="14"/>
                    <w:keepNext w:val="0"/>
                    <w:keepLines w:val="0"/>
                    <w:pageBreakBefore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hint="eastAsia" w:eastAsia="仿宋"/>
                      <w:color w:val="auto"/>
                      <w:sz w:val="21"/>
                      <w:szCs w:val="21"/>
                      <w:highlight w:val="none"/>
                    </w:rPr>
                    <w:t>检测项目</w:t>
                  </w:r>
                </w:p>
              </w:tc>
              <w:tc>
                <w:tcPr>
                  <w:tcW w:w="1472" w:type="pct"/>
                  <w:gridSpan w:val="3"/>
                  <w:vAlign w:val="center"/>
                </w:tcPr>
                <w:p w14:paraId="6BE053A6">
                  <w:pPr>
                    <w:pStyle w:val="14"/>
                    <w:keepNext w:val="0"/>
                    <w:keepLines w:val="0"/>
                    <w:pageBreakBefore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hint="eastAsia" w:eastAsia="仿宋"/>
                      <w:color w:val="auto"/>
                      <w:sz w:val="21"/>
                      <w:szCs w:val="21"/>
                      <w:highlight w:val="none"/>
                    </w:rPr>
                    <w:t>采样日期</w:t>
                  </w:r>
                  <w:r>
                    <w:rPr>
                      <w:rFonts w:hint="eastAsia" w:eastAsia="仿宋"/>
                      <w:color w:val="auto"/>
                      <w:sz w:val="21"/>
                      <w:szCs w:val="21"/>
                      <w:highlight w:val="none"/>
                      <w:lang w:eastAsia="zh-CN"/>
                    </w:rPr>
                    <w:t>：</w:t>
                  </w:r>
                  <w:r>
                    <w:rPr>
                      <w:rFonts w:hint="eastAsia" w:eastAsia="仿宋"/>
                      <w:color w:val="auto"/>
                      <w:sz w:val="21"/>
                      <w:szCs w:val="21"/>
                      <w:highlight w:val="none"/>
                    </w:rPr>
                    <w:t>2025.09.04</w:t>
                  </w:r>
                </w:p>
              </w:tc>
              <w:tc>
                <w:tcPr>
                  <w:tcW w:w="1558" w:type="pct"/>
                  <w:gridSpan w:val="3"/>
                  <w:vAlign w:val="center"/>
                </w:tcPr>
                <w:p w14:paraId="15836B5D">
                  <w:pPr>
                    <w:pStyle w:val="14"/>
                    <w:keepNext w:val="0"/>
                    <w:keepLines w:val="0"/>
                    <w:pageBreakBefore w:val="0"/>
                    <w:kinsoku w:val="0"/>
                    <w:wordWrap/>
                    <w:overflowPunct w:val="0"/>
                    <w:topLinePunct w:val="0"/>
                    <w:autoSpaceDE w:val="0"/>
                    <w:autoSpaceDN w:val="0"/>
                    <w:bidi w:val="0"/>
                    <w:adjustRightInd w:val="0"/>
                    <w:snapToGrid/>
                    <w:spacing w:line="240" w:lineRule="auto"/>
                    <w:jc w:val="center"/>
                    <w:textAlignment w:val="auto"/>
                    <w:rPr>
                      <w:rFonts w:hint="eastAsia" w:eastAsia="仿宋"/>
                      <w:color w:val="auto"/>
                      <w:sz w:val="21"/>
                      <w:szCs w:val="21"/>
                      <w:highlight w:val="none"/>
                      <w:lang w:eastAsia="zh-CN"/>
                    </w:rPr>
                  </w:pPr>
                  <w:r>
                    <w:rPr>
                      <w:rFonts w:hint="eastAsia" w:eastAsia="仿宋"/>
                      <w:color w:val="auto"/>
                      <w:sz w:val="21"/>
                      <w:szCs w:val="21"/>
                      <w:highlight w:val="none"/>
                    </w:rPr>
                    <w:t>采样日期</w:t>
                  </w:r>
                  <w:r>
                    <w:rPr>
                      <w:rFonts w:hint="eastAsia" w:eastAsia="仿宋"/>
                      <w:color w:val="auto"/>
                      <w:sz w:val="21"/>
                      <w:szCs w:val="21"/>
                      <w:highlight w:val="none"/>
                      <w:lang w:eastAsia="zh-CN"/>
                    </w:rPr>
                    <w:t>：</w:t>
                  </w:r>
                  <w:r>
                    <w:rPr>
                      <w:rFonts w:hint="eastAsia" w:eastAsia="仿宋"/>
                      <w:color w:val="auto"/>
                      <w:sz w:val="21"/>
                      <w:szCs w:val="21"/>
                      <w:highlight w:val="none"/>
                    </w:rPr>
                    <w:t>2025.09.0</w:t>
                  </w:r>
                  <w:r>
                    <w:rPr>
                      <w:rFonts w:hint="eastAsia" w:eastAsia="仿宋"/>
                      <w:color w:val="auto"/>
                      <w:sz w:val="21"/>
                      <w:szCs w:val="21"/>
                      <w:highlight w:val="none"/>
                      <w:lang w:val="en-US" w:eastAsia="zh-CN"/>
                    </w:rPr>
                    <w:t>5</w:t>
                  </w:r>
                </w:p>
              </w:tc>
              <w:tc>
                <w:tcPr>
                  <w:tcW w:w="460" w:type="pct"/>
                  <w:vMerge w:val="restart"/>
                  <w:vAlign w:val="center"/>
                </w:tcPr>
                <w:p w14:paraId="6D46958C">
                  <w:pPr>
                    <w:pStyle w:val="14"/>
                    <w:keepNext w:val="0"/>
                    <w:keepLines w:val="0"/>
                    <w:pageBreakBefore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eastAsia="仿宋"/>
                      <w:color w:val="auto"/>
                      <w:sz w:val="21"/>
                      <w:szCs w:val="21"/>
                      <w:highlight w:val="none"/>
                    </w:rPr>
                    <w:t>标准限值</w:t>
                  </w:r>
                </w:p>
              </w:tc>
            </w:tr>
            <w:tr w14:paraId="06A84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pct"/>
                  <w:vMerge w:val="continue"/>
                  <w:vAlign w:val="center"/>
                </w:tcPr>
                <w:p w14:paraId="5601672F">
                  <w:pPr>
                    <w:pStyle w:val="14"/>
                    <w:keepNext w:val="0"/>
                    <w:keepLines w:val="0"/>
                    <w:pageBreakBefore w:val="0"/>
                    <w:kinsoku w:val="0"/>
                    <w:wordWrap/>
                    <w:overflowPunct w:val="0"/>
                    <w:topLinePunct w:val="0"/>
                    <w:autoSpaceDE w:val="0"/>
                    <w:autoSpaceDN w:val="0"/>
                    <w:bidi w:val="0"/>
                    <w:adjustRightInd w:val="0"/>
                    <w:snapToGrid/>
                    <w:spacing w:line="240" w:lineRule="auto"/>
                    <w:jc w:val="center"/>
                    <w:textAlignment w:val="auto"/>
                    <w:rPr>
                      <w:rFonts w:hint="eastAsia" w:eastAsia="仿宋"/>
                      <w:color w:val="auto"/>
                      <w:sz w:val="21"/>
                      <w:szCs w:val="21"/>
                      <w:highlight w:val="none"/>
                    </w:rPr>
                  </w:pPr>
                </w:p>
              </w:tc>
              <w:tc>
                <w:tcPr>
                  <w:tcW w:w="757" w:type="pct"/>
                  <w:vMerge w:val="continue"/>
                  <w:vAlign w:val="center"/>
                </w:tcPr>
                <w:p w14:paraId="1B3123C1">
                  <w:pPr>
                    <w:pStyle w:val="14"/>
                    <w:keepNext w:val="0"/>
                    <w:keepLines w:val="0"/>
                    <w:pageBreakBefore w:val="0"/>
                    <w:kinsoku w:val="0"/>
                    <w:wordWrap/>
                    <w:overflowPunct w:val="0"/>
                    <w:topLinePunct w:val="0"/>
                    <w:autoSpaceDE w:val="0"/>
                    <w:autoSpaceDN w:val="0"/>
                    <w:bidi w:val="0"/>
                    <w:adjustRightInd w:val="0"/>
                    <w:snapToGrid/>
                    <w:spacing w:line="240" w:lineRule="auto"/>
                    <w:jc w:val="center"/>
                    <w:textAlignment w:val="auto"/>
                    <w:rPr>
                      <w:rFonts w:hint="eastAsia" w:eastAsia="仿宋"/>
                      <w:color w:val="auto"/>
                      <w:sz w:val="21"/>
                      <w:szCs w:val="21"/>
                      <w:highlight w:val="none"/>
                    </w:rPr>
                  </w:pPr>
                </w:p>
              </w:tc>
              <w:tc>
                <w:tcPr>
                  <w:tcW w:w="474" w:type="pct"/>
                  <w:vAlign w:val="center"/>
                </w:tcPr>
                <w:p w14:paraId="04DCB3D9">
                  <w:pPr>
                    <w:pStyle w:val="14"/>
                    <w:keepNext w:val="0"/>
                    <w:keepLines w:val="0"/>
                    <w:pageBreakBefore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eastAsia="仿宋"/>
                      <w:color w:val="auto"/>
                      <w:sz w:val="21"/>
                      <w:szCs w:val="21"/>
                      <w:highlight w:val="none"/>
                    </w:rPr>
                    <w:t>第一次</w:t>
                  </w:r>
                </w:p>
              </w:tc>
              <w:tc>
                <w:tcPr>
                  <w:tcW w:w="488" w:type="pct"/>
                  <w:vAlign w:val="center"/>
                </w:tcPr>
                <w:p w14:paraId="0AD1586B">
                  <w:pPr>
                    <w:pStyle w:val="14"/>
                    <w:keepNext w:val="0"/>
                    <w:keepLines w:val="0"/>
                    <w:pageBreakBefore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eastAsia="仿宋"/>
                      <w:color w:val="auto"/>
                      <w:sz w:val="21"/>
                      <w:szCs w:val="21"/>
                      <w:highlight w:val="none"/>
                    </w:rPr>
                    <w:t>第二次</w:t>
                  </w:r>
                </w:p>
              </w:tc>
              <w:tc>
                <w:tcPr>
                  <w:tcW w:w="509" w:type="pct"/>
                  <w:vAlign w:val="center"/>
                </w:tcPr>
                <w:p w14:paraId="7F079D17">
                  <w:pPr>
                    <w:pStyle w:val="14"/>
                    <w:keepNext w:val="0"/>
                    <w:keepLines w:val="0"/>
                    <w:pageBreakBefore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eastAsia="仿宋"/>
                      <w:color w:val="auto"/>
                      <w:sz w:val="21"/>
                      <w:szCs w:val="21"/>
                      <w:highlight w:val="none"/>
                    </w:rPr>
                    <w:t>第三次</w:t>
                  </w:r>
                </w:p>
              </w:tc>
              <w:tc>
                <w:tcPr>
                  <w:tcW w:w="531" w:type="pct"/>
                  <w:vAlign w:val="center"/>
                </w:tcPr>
                <w:p w14:paraId="3734333F">
                  <w:pPr>
                    <w:pStyle w:val="14"/>
                    <w:keepNext w:val="0"/>
                    <w:keepLines w:val="0"/>
                    <w:pageBreakBefore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eastAsia="仿宋"/>
                      <w:color w:val="auto"/>
                      <w:sz w:val="21"/>
                      <w:szCs w:val="21"/>
                      <w:highlight w:val="none"/>
                    </w:rPr>
                    <w:t>第一次</w:t>
                  </w:r>
                </w:p>
              </w:tc>
              <w:tc>
                <w:tcPr>
                  <w:tcW w:w="517" w:type="pct"/>
                  <w:vAlign w:val="center"/>
                </w:tcPr>
                <w:p w14:paraId="6D802588">
                  <w:pPr>
                    <w:pStyle w:val="14"/>
                    <w:keepNext w:val="0"/>
                    <w:keepLines w:val="0"/>
                    <w:pageBreakBefore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eastAsia="仿宋"/>
                      <w:color w:val="auto"/>
                      <w:sz w:val="21"/>
                      <w:szCs w:val="21"/>
                      <w:highlight w:val="none"/>
                    </w:rPr>
                    <w:t>第二次</w:t>
                  </w:r>
                </w:p>
              </w:tc>
              <w:tc>
                <w:tcPr>
                  <w:tcW w:w="509" w:type="pct"/>
                  <w:vAlign w:val="center"/>
                </w:tcPr>
                <w:p w14:paraId="088D5A6A">
                  <w:pPr>
                    <w:pStyle w:val="14"/>
                    <w:keepNext w:val="0"/>
                    <w:keepLines w:val="0"/>
                    <w:pageBreakBefore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eastAsia="仿宋"/>
                      <w:color w:val="auto"/>
                      <w:sz w:val="21"/>
                      <w:szCs w:val="21"/>
                      <w:highlight w:val="none"/>
                    </w:rPr>
                    <w:t>第三次</w:t>
                  </w:r>
                </w:p>
              </w:tc>
              <w:tc>
                <w:tcPr>
                  <w:tcW w:w="460" w:type="pct"/>
                  <w:vMerge w:val="continue"/>
                  <w:vAlign w:val="center"/>
                </w:tcPr>
                <w:p w14:paraId="60CE93EE">
                  <w:pPr>
                    <w:pStyle w:val="14"/>
                    <w:keepNext w:val="0"/>
                    <w:keepLines w:val="0"/>
                    <w:pageBreakBefore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p>
              </w:tc>
            </w:tr>
            <w:tr w14:paraId="197D1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pct"/>
                  <w:vAlign w:val="center"/>
                </w:tcPr>
                <w:p w14:paraId="090F1769">
                  <w:pPr>
                    <w:pStyle w:val="14"/>
                    <w:keepNext w:val="0"/>
                    <w:keepLines w:val="0"/>
                    <w:pageBreakBefore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eastAsia="仿宋"/>
                      <w:color w:val="auto"/>
                      <w:sz w:val="21"/>
                      <w:szCs w:val="21"/>
                      <w:highlight w:val="none"/>
                    </w:rPr>
                    <w:t>G1上风向</w:t>
                  </w:r>
                </w:p>
              </w:tc>
              <w:tc>
                <w:tcPr>
                  <w:tcW w:w="757" w:type="pct"/>
                  <w:vMerge w:val="restart"/>
                  <w:vAlign w:val="center"/>
                </w:tcPr>
                <w:p w14:paraId="3CE2236A">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eastAsia="仿宋"/>
                      <w:color w:val="auto"/>
                      <w:sz w:val="21"/>
                      <w:szCs w:val="21"/>
                      <w:highlight w:val="none"/>
                    </w:rPr>
                    <w:t>非甲烷总烃（mg/Nm</w:t>
                  </w:r>
                  <w:r>
                    <w:rPr>
                      <w:rFonts w:eastAsia="仿宋"/>
                      <w:color w:val="auto"/>
                      <w:sz w:val="21"/>
                      <w:szCs w:val="21"/>
                      <w:highlight w:val="none"/>
                      <w:vertAlign w:val="superscript"/>
                    </w:rPr>
                    <w:t>3</w:t>
                  </w:r>
                  <w:r>
                    <w:rPr>
                      <w:rFonts w:eastAsia="仿宋"/>
                      <w:color w:val="auto"/>
                      <w:sz w:val="21"/>
                      <w:szCs w:val="21"/>
                      <w:highlight w:val="none"/>
                    </w:rPr>
                    <w:t>）</w:t>
                  </w:r>
                </w:p>
              </w:tc>
              <w:tc>
                <w:tcPr>
                  <w:tcW w:w="474" w:type="pct"/>
                  <w:vAlign w:val="center"/>
                </w:tcPr>
                <w:p w14:paraId="5F289B99">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仿宋"/>
                      <w:color w:val="auto"/>
                      <w:sz w:val="21"/>
                      <w:szCs w:val="21"/>
                      <w:highlight w:val="none"/>
                      <w:lang w:val="en-US" w:eastAsia="zh-CN"/>
                    </w:rPr>
                  </w:pPr>
                  <w:r>
                    <w:rPr>
                      <w:rFonts w:hint="eastAsia" w:eastAsia="宋体"/>
                      <w:color w:val="auto"/>
                      <w:sz w:val="21"/>
                      <w:szCs w:val="21"/>
                      <w:highlight w:val="none"/>
                      <w:lang w:val="en-US" w:eastAsia="zh-CN"/>
                    </w:rPr>
                    <w:t>0.46</w:t>
                  </w:r>
                </w:p>
              </w:tc>
              <w:tc>
                <w:tcPr>
                  <w:tcW w:w="488" w:type="pct"/>
                  <w:vAlign w:val="center"/>
                </w:tcPr>
                <w:p w14:paraId="7DE16DB3">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仿宋"/>
                      <w:color w:val="auto"/>
                      <w:sz w:val="21"/>
                      <w:szCs w:val="21"/>
                      <w:highlight w:val="none"/>
                      <w:lang w:val="en-US" w:eastAsia="zh-CN"/>
                    </w:rPr>
                  </w:pPr>
                  <w:r>
                    <w:rPr>
                      <w:rFonts w:hint="eastAsia" w:eastAsia="宋体"/>
                      <w:color w:val="auto"/>
                      <w:sz w:val="21"/>
                      <w:szCs w:val="21"/>
                      <w:highlight w:val="none"/>
                      <w:lang w:val="en-US" w:eastAsia="zh-CN"/>
                    </w:rPr>
                    <w:t>0.49</w:t>
                  </w:r>
                </w:p>
              </w:tc>
              <w:tc>
                <w:tcPr>
                  <w:tcW w:w="509" w:type="pct"/>
                  <w:vAlign w:val="center"/>
                </w:tcPr>
                <w:p w14:paraId="059C81A3">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仿宋"/>
                      <w:color w:val="auto"/>
                      <w:sz w:val="21"/>
                      <w:szCs w:val="21"/>
                      <w:highlight w:val="none"/>
                    </w:rPr>
                  </w:pPr>
                  <w:r>
                    <w:rPr>
                      <w:rFonts w:eastAsia="宋体"/>
                      <w:color w:val="auto"/>
                      <w:sz w:val="21"/>
                      <w:szCs w:val="21"/>
                      <w:highlight w:val="none"/>
                    </w:rPr>
                    <w:t>0.53</w:t>
                  </w:r>
                </w:p>
              </w:tc>
              <w:tc>
                <w:tcPr>
                  <w:tcW w:w="531" w:type="pct"/>
                  <w:vAlign w:val="center"/>
                </w:tcPr>
                <w:p w14:paraId="66ED00CF">
                  <w:pPr>
                    <w:keepNext w:val="0"/>
                    <w:keepLines w:val="0"/>
                    <w:pageBreakBefore w:val="0"/>
                    <w:widowControl/>
                    <w:wordWrap/>
                    <w:topLinePunct w:val="0"/>
                    <w:autoSpaceDE w:val="0"/>
                    <w:autoSpaceDN w:val="0"/>
                    <w:bidi w:val="0"/>
                    <w:adjustRightInd w:val="0"/>
                    <w:snapToGrid/>
                    <w:spacing w:line="240" w:lineRule="auto"/>
                    <w:jc w:val="center"/>
                    <w:textAlignment w:val="auto"/>
                    <w:rPr>
                      <w:rFonts w:eastAsia="宋体"/>
                      <w:color w:val="auto"/>
                      <w:sz w:val="21"/>
                      <w:szCs w:val="21"/>
                      <w:highlight w:val="none"/>
                    </w:rPr>
                  </w:pPr>
                  <w:r>
                    <w:rPr>
                      <w:rFonts w:hint="default" w:eastAsia="宋体"/>
                      <w:color w:val="auto"/>
                      <w:sz w:val="21"/>
                      <w:szCs w:val="21"/>
                      <w:highlight w:val="none"/>
                      <w:lang w:eastAsia="zh-CN"/>
                    </w:rPr>
                    <w:t>0.37</w:t>
                  </w:r>
                </w:p>
              </w:tc>
              <w:tc>
                <w:tcPr>
                  <w:tcW w:w="517" w:type="pct"/>
                  <w:vAlign w:val="center"/>
                </w:tcPr>
                <w:p w14:paraId="62EE7A9D">
                  <w:pPr>
                    <w:keepNext w:val="0"/>
                    <w:keepLines w:val="0"/>
                    <w:pageBreakBefore w:val="0"/>
                    <w:widowControl/>
                    <w:wordWrap/>
                    <w:topLinePunct w:val="0"/>
                    <w:autoSpaceDE w:val="0"/>
                    <w:autoSpaceDN w:val="0"/>
                    <w:bidi w:val="0"/>
                    <w:adjustRightInd w:val="0"/>
                    <w:snapToGrid/>
                    <w:spacing w:line="240" w:lineRule="auto"/>
                    <w:jc w:val="center"/>
                    <w:textAlignment w:val="auto"/>
                    <w:rPr>
                      <w:rFonts w:eastAsia="宋体"/>
                      <w:color w:val="auto"/>
                      <w:sz w:val="21"/>
                      <w:szCs w:val="21"/>
                      <w:highlight w:val="none"/>
                    </w:rPr>
                  </w:pPr>
                  <w:r>
                    <w:rPr>
                      <w:rFonts w:hint="default" w:eastAsia="宋体"/>
                      <w:color w:val="auto"/>
                      <w:sz w:val="21"/>
                      <w:szCs w:val="21"/>
                      <w:highlight w:val="none"/>
                      <w:lang w:eastAsia="zh-CN"/>
                    </w:rPr>
                    <w:t>0.39</w:t>
                  </w:r>
                </w:p>
              </w:tc>
              <w:tc>
                <w:tcPr>
                  <w:tcW w:w="509" w:type="pct"/>
                  <w:vAlign w:val="center"/>
                </w:tcPr>
                <w:p w14:paraId="0CD20218">
                  <w:pPr>
                    <w:keepNext w:val="0"/>
                    <w:keepLines w:val="0"/>
                    <w:pageBreakBefore w:val="0"/>
                    <w:widowControl/>
                    <w:wordWrap/>
                    <w:topLinePunct w:val="0"/>
                    <w:autoSpaceDE w:val="0"/>
                    <w:autoSpaceDN w:val="0"/>
                    <w:bidi w:val="0"/>
                    <w:adjustRightInd w:val="0"/>
                    <w:snapToGrid/>
                    <w:spacing w:line="240" w:lineRule="auto"/>
                    <w:jc w:val="center"/>
                    <w:textAlignment w:val="auto"/>
                    <w:rPr>
                      <w:rFonts w:eastAsia="宋体"/>
                      <w:color w:val="auto"/>
                      <w:sz w:val="21"/>
                      <w:szCs w:val="21"/>
                      <w:highlight w:val="none"/>
                    </w:rPr>
                  </w:pPr>
                  <w:r>
                    <w:rPr>
                      <w:rFonts w:eastAsia="宋体"/>
                      <w:color w:val="auto"/>
                      <w:sz w:val="21"/>
                      <w:szCs w:val="21"/>
                      <w:highlight w:val="none"/>
                    </w:rPr>
                    <w:t>0.36</w:t>
                  </w:r>
                </w:p>
              </w:tc>
              <w:tc>
                <w:tcPr>
                  <w:tcW w:w="460" w:type="pct"/>
                  <w:vAlign w:val="center"/>
                </w:tcPr>
                <w:p w14:paraId="2A9777AB">
                  <w:pPr>
                    <w:keepNext w:val="0"/>
                    <w:keepLines w:val="0"/>
                    <w:pageBreakBefore w:val="0"/>
                    <w:widowControl/>
                    <w:wordWrap/>
                    <w:topLinePunct w:val="0"/>
                    <w:autoSpaceDE w:val="0"/>
                    <w:autoSpaceDN w:val="0"/>
                    <w:bidi w:val="0"/>
                    <w:adjustRightInd w:val="0"/>
                    <w:snapToGrid/>
                    <w:spacing w:line="240" w:lineRule="auto"/>
                    <w:jc w:val="center"/>
                    <w:textAlignment w:val="auto"/>
                    <w:rPr>
                      <w:rFonts w:eastAsia="宋体"/>
                      <w:color w:val="auto"/>
                      <w:sz w:val="21"/>
                      <w:szCs w:val="21"/>
                      <w:highlight w:val="none"/>
                    </w:rPr>
                  </w:pPr>
                  <w:r>
                    <w:rPr>
                      <w:rFonts w:eastAsia="宋体"/>
                      <w:color w:val="auto"/>
                      <w:sz w:val="21"/>
                      <w:szCs w:val="21"/>
                      <w:highlight w:val="none"/>
                    </w:rPr>
                    <w:t>2.0</w:t>
                  </w:r>
                </w:p>
              </w:tc>
            </w:tr>
            <w:tr w14:paraId="3FD84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pct"/>
                  <w:vAlign w:val="center"/>
                </w:tcPr>
                <w:p w14:paraId="1B25C418">
                  <w:pPr>
                    <w:pStyle w:val="14"/>
                    <w:keepNext w:val="0"/>
                    <w:keepLines w:val="0"/>
                    <w:pageBreakBefore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eastAsia="仿宋"/>
                      <w:color w:val="auto"/>
                      <w:sz w:val="21"/>
                      <w:szCs w:val="21"/>
                      <w:highlight w:val="none"/>
                    </w:rPr>
                    <w:t>G2下风向</w:t>
                  </w:r>
                </w:p>
              </w:tc>
              <w:tc>
                <w:tcPr>
                  <w:tcW w:w="757" w:type="pct"/>
                  <w:vMerge w:val="continue"/>
                  <w:vAlign w:val="center"/>
                </w:tcPr>
                <w:p w14:paraId="5CA6B4F0">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p>
              </w:tc>
              <w:tc>
                <w:tcPr>
                  <w:tcW w:w="474" w:type="pct"/>
                  <w:vAlign w:val="center"/>
                </w:tcPr>
                <w:p w14:paraId="116325FC">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仿宋"/>
                      <w:color w:val="auto"/>
                      <w:sz w:val="21"/>
                      <w:szCs w:val="21"/>
                      <w:highlight w:val="none"/>
                      <w:lang w:val="en-US" w:eastAsia="zh-CN"/>
                    </w:rPr>
                  </w:pPr>
                  <w:r>
                    <w:rPr>
                      <w:rFonts w:hint="eastAsia" w:eastAsia="宋体"/>
                      <w:color w:val="auto"/>
                      <w:sz w:val="21"/>
                      <w:szCs w:val="21"/>
                      <w:highlight w:val="none"/>
                      <w:lang w:val="en-US" w:eastAsia="zh-CN"/>
                    </w:rPr>
                    <w:t>0.64</w:t>
                  </w:r>
                </w:p>
              </w:tc>
              <w:tc>
                <w:tcPr>
                  <w:tcW w:w="488" w:type="pct"/>
                  <w:vAlign w:val="center"/>
                </w:tcPr>
                <w:p w14:paraId="05599E46">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仿宋"/>
                      <w:color w:val="auto"/>
                      <w:sz w:val="21"/>
                      <w:szCs w:val="21"/>
                      <w:highlight w:val="none"/>
                      <w:lang w:val="en-US" w:eastAsia="zh-CN"/>
                    </w:rPr>
                  </w:pPr>
                  <w:r>
                    <w:rPr>
                      <w:rFonts w:hint="eastAsia" w:eastAsia="宋体"/>
                      <w:color w:val="auto"/>
                      <w:sz w:val="21"/>
                      <w:szCs w:val="21"/>
                      <w:highlight w:val="none"/>
                      <w:lang w:val="en-US" w:eastAsia="zh-CN"/>
                    </w:rPr>
                    <w:t>0.62</w:t>
                  </w:r>
                </w:p>
              </w:tc>
              <w:tc>
                <w:tcPr>
                  <w:tcW w:w="509" w:type="pct"/>
                  <w:vAlign w:val="center"/>
                </w:tcPr>
                <w:p w14:paraId="412C87D4">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仿宋"/>
                      <w:color w:val="auto"/>
                      <w:sz w:val="21"/>
                      <w:szCs w:val="21"/>
                      <w:highlight w:val="none"/>
                    </w:rPr>
                  </w:pPr>
                  <w:r>
                    <w:rPr>
                      <w:rFonts w:eastAsia="宋体"/>
                      <w:color w:val="auto"/>
                      <w:sz w:val="21"/>
                      <w:szCs w:val="21"/>
                      <w:highlight w:val="none"/>
                    </w:rPr>
                    <w:t>0.58</w:t>
                  </w:r>
                </w:p>
              </w:tc>
              <w:tc>
                <w:tcPr>
                  <w:tcW w:w="531" w:type="pct"/>
                  <w:vAlign w:val="center"/>
                </w:tcPr>
                <w:p w14:paraId="15D9006D">
                  <w:pPr>
                    <w:keepNext w:val="0"/>
                    <w:keepLines w:val="0"/>
                    <w:pageBreakBefore w:val="0"/>
                    <w:widowControl/>
                    <w:wordWrap/>
                    <w:topLinePunct w:val="0"/>
                    <w:autoSpaceDE w:val="0"/>
                    <w:autoSpaceDN w:val="0"/>
                    <w:bidi w:val="0"/>
                    <w:adjustRightInd w:val="0"/>
                    <w:snapToGrid/>
                    <w:spacing w:line="240" w:lineRule="auto"/>
                    <w:jc w:val="center"/>
                    <w:textAlignment w:val="auto"/>
                    <w:rPr>
                      <w:rFonts w:eastAsia="宋体"/>
                      <w:color w:val="auto"/>
                      <w:sz w:val="21"/>
                      <w:szCs w:val="21"/>
                      <w:highlight w:val="none"/>
                    </w:rPr>
                  </w:pPr>
                  <w:r>
                    <w:rPr>
                      <w:rFonts w:hint="default" w:eastAsia="宋体"/>
                      <w:color w:val="auto"/>
                      <w:sz w:val="21"/>
                      <w:szCs w:val="21"/>
                      <w:highlight w:val="none"/>
                      <w:lang w:eastAsia="zh-CN"/>
                    </w:rPr>
                    <w:t>0.56</w:t>
                  </w:r>
                </w:p>
              </w:tc>
              <w:tc>
                <w:tcPr>
                  <w:tcW w:w="517" w:type="pct"/>
                  <w:vAlign w:val="center"/>
                </w:tcPr>
                <w:p w14:paraId="3AE3A858">
                  <w:pPr>
                    <w:keepNext w:val="0"/>
                    <w:keepLines w:val="0"/>
                    <w:pageBreakBefore w:val="0"/>
                    <w:widowControl/>
                    <w:wordWrap/>
                    <w:topLinePunct w:val="0"/>
                    <w:autoSpaceDE w:val="0"/>
                    <w:autoSpaceDN w:val="0"/>
                    <w:bidi w:val="0"/>
                    <w:adjustRightInd w:val="0"/>
                    <w:snapToGrid/>
                    <w:spacing w:line="240" w:lineRule="auto"/>
                    <w:jc w:val="center"/>
                    <w:textAlignment w:val="auto"/>
                    <w:rPr>
                      <w:rFonts w:eastAsia="宋体"/>
                      <w:color w:val="auto"/>
                      <w:sz w:val="21"/>
                      <w:szCs w:val="21"/>
                      <w:highlight w:val="none"/>
                    </w:rPr>
                  </w:pPr>
                  <w:r>
                    <w:rPr>
                      <w:rFonts w:hint="eastAsia" w:eastAsia="宋体"/>
                      <w:color w:val="auto"/>
                      <w:sz w:val="21"/>
                      <w:szCs w:val="21"/>
                      <w:highlight w:val="none"/>
                      <w:lang w:val="en-US" w:eastAsia="zh-CN"/>
                    </w:rPr>
                    <w:t>0.</w:t>
                  </w:r>
                  <w:r>
                    <w:rPr>
                      <w:rFonts w:hint="default" w:eastAsia="宋体"/>
                      <w:color w:val="auto"/>
                      <w:sz w:val="21"/>
                      <w:szCs w:val="21"/>
                      <w:highlight w:val="none"/>
                      <w:lang w:eastAsia="zh-CN"/>
                    </w:rPr>
                    <w:t>58</w:t>
                  </w:r>
                </w:p>
              </w:tc>
              <w:tc>
                <w:tcPr>
                  <w:tcW w:w="509" w:type="pct"/>
                  <w:vAlign w:val="center"/>
                </w:tcPr>
                <w:p w14:paraId="23BDC947">
                  <w:pPr>
                    <w:keepNext w:val="0"/>
                    <w:keepLines w:val="0"/>
                    <w:pageBreakBefore w:val="0"/>
                    <w:widowControl/>
                    <w:wordWrap/>
                    <w:topLinePunct w:val="0"/>
                    <w:autoSpaceDE w:val="0"/>
                    <w:autoSpaceDN w:val="0"/>
                    <w:bidi w:val="0"/>
                    <w:adjustRightInd w:val="0"/>
                    <w:snapToGrid/>
                    <w:spacing w:line="240" w:lineRule="auto"/>
                    <w:jc w:val="center"/>
                    <w:textAlignment w:val="auto"/>
                    <w:rPr>
                      <w:rFonts w:eastAsia="宋体"/>
                      <w:color w:val="auto"/>
                      <w:sz w:val="21"/>
                      <w:szCs w:val="21"/>
                      <w:highlight w:val="none"/>
                    </w:rPr>
                  </w:pPr>
                  <w:r>
                    <w:rPr>
                      <w:rFonts w:eastAsia="宋体"/>
                      <w:color w:val="auto"/>
                      <w:sz w:val="21"/>
                      <w:szCs w:val="21"/>
                      <w:highlight w:val="none"/>
                    </w:rPr>
                    <w:t>0.56</w:t>
                  </w:r>
                </w:p>
              </w:tc>
              <w:tc>
                <w:tcPr>
                  <w:tcW w:w="460" w:type="pct"/>
                  <w:vAlign w:val="center"/>
                </w:tcPr>
                <w:p w14:paraId="071508F9">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rPr>
                  </w:pPr>
                  <w:r>
                    <w:rPr>
                      <w:rFonts w:eastAsia="宋体"/>
                      <w:color w:val="auto"/>
                      <w:sz w:val="21"/>
                      <w:szCs w:val="21"/>
                      <w:highlight w:val="none"/>
                    </w:rPr>
                    <w:t>2.0</w:t>
                  </w:r>
                </w:p>
              </w:tc>
            </w:tr>
            <w:tr w14:paraId="726C5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pct"/>
                  <w:vAlign w:val="center"/>
                </w:tcPr>
                <w:p w14:paraId="6E9DBEDD">
                  <w:pPr>
                    <w:pStyle w:val="14"/>
                    <w:keepNext w:val="0"/>
                    <w:keepLines w:val="0"/>
                    <w:pageBreakBefore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eastAsia="仿宋"/>
                      <w:color w:val="auto"/>
                      <w:sz w:val="21"/>
                      <w:szCs w:val="21"/>
                      <w:highlight w:val="none"/>
                    </w:rPr>
                    <w:t>G3下风向</w:t>
                  </w:r>
                </w:p>
              </w:tc>
              <w:tc>
                <w:tcPr>
                  <w:tcW w:w="757" w:type="pct"/>
                  <w:vMerge w:val="continue"/>
                  <w:vAlign w:val="center"/>
                </w:tcPr>
                <w:p w14:paraId="00ED2DCB">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p>
              </w:tc>
              <w:tc>
                <w:tcPr>
                  <w:tcW w:w="474" w:type="pct"/>
                  <w:vAlign w:val="center"/>
                </w:tcPr>
                <w:p w14:paraId="1611FD40">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仿宋"/>
                      <w:color w:val="auto"/>
                      <w:sz w:val="21"/>
                      <w:szCs w:val="21"/>
                      <w:highlight w:val="none"/>
                      <w:lang w:val="en-US" w:eastAsia="zh-CN"/>
                    </w:rPr>
                  </w:pPr>
                  <w:r>
                    <w:rPr>
                      <w:rFonts w:hint="eastAsia" w:eastAsia="宋体"/>
                      <w:color w:val="auto"/>
                      <w:sz w:val="21"/>
                      <w:szCs w:val="21"/>
                      <w:highlight w:val="none"/>
                      <w:lang w:val="en-US" w:eastAsia="zh-CN"/>
                    </w:rPr>
                    <w:t>0.58</w:t>
                  </w:r>
                </w:p>
              </w:tc>
              <w:tc>
                <w:tcPr>
                  <w:tcW w:w="488" w:type="pct"/>
                  <w:vAlign w:val="center"/>
                </w:tcPr>
                <w:p w14:paraId="33978059">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仿宋"/>
                      <w:color w:val="auto"/>
                      <w:sz w:val="21"/>
                      <w:szCs w:val="21"/>
                      <w:highlight w:val="none"/>
                      <w:lang w:val="en-US" w:eastAsia="zh-CN"/>
                    </w:rPr>
                  </w:pPr>
                  <w:r>
                    <w:rPr>
                      <w:rFonts w:hint="eastAsia" w:eastAsia="宋体"/>
                      <w:color w:val="auto"/>
                      <w:sz w:val="21"/>
                      <w:szCs w:val="21"/>
                      <w:highlight w:val="none"/>
                      <w:lang w:val="en-US" w:eastAsia="zh-CN"/>
                    </w:rPr>
                    <w:t>0.59</w:t>
                  </w:r>
                </w:p>
              </w:tc>
              <w:tc>
                <w:tcPr>
                  <w:tcW w:w="509" w:type="pct"/>
                  <w:vAlign w:val="center"/>
                </w:tcPr>
                <w:p w14:paraId="0F9C773B">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仿宋"/>
                      <w:color w:val="auto"/>
                      <w:sz w:val="21"/>
                      <w:szCs w:val="21"/>
                      <w:highlight w:val="none"/>
                    </w:rPr>
                  </w:pPr>
                  <w:r>
                    <w:rPr>
                      <w:rFonts w:eastAsia="宋体"/>
                      <w:color w:val="auto"/>
                      <w:sz w:val="21"/>
                      <w:szCs w:val="21"/>
                      <w:highlight w:val="none"/>
                    </w:rPr>
                    <w:t>0.59</w:t>
                  </w:r>
                </w:p>
              </w:tc>
              <w:tc>
                <w:tcPr>
                  <w:tcW w:w="531" w:type="pct"/>
                  <w:vAlign w:val="center"/>
                </w:tcPr>
                <w:p w14:paraId="21EAA986">
                  <w:pPr>
                    <w:keepNext w:val="0"/>
                    <w:keepLines w:val="0"/>
                    <w:pageBreakBefore w:val="0"/>
                    <w:widowControl/>
                    <w:wordWrap/>
                    <w:topLinePunct w:val="0"/>
                    <w:autoSpaceDE w:val="0"/>
                    <w:autoSpaceDN w:val="0"/>
                    <w:bidi w:val="0"/>
                    <w:adjustRightInd w:val="0"/>
                    <w:snapToGrid/>
                    <w:spacing w:line="240" w:lineRule="auto"/>
                    <w:jc w:val="center"/>
                    <w:textAlignment w:val="auto"/>
                    <w:rPr>
                      <w:rFonts w:eastAsia="宋体"/>
                      <w:color w:val="auto"/>
                      <w:sz w:val="21"/>
                      <w:szCs w:val="21"/>
                      <w:highlight w:val="none"/>
                    </w:rPr>
                  </w:pPr>
                  <w:r>
                    <w:rPr>
                      <w:rFonts w:hint="eastAsia" w:eastAsia="宋体"/>
                      <w:color w:val="auto"/>
                      <w:sz w:val="21"/>
                      <w:szCs w:val="21"/>
                      <w:highlight w:val="none"/>
                      <w:lang w:val="en-US" w:eastAsia="zh-CN"/>
                    </w:rPr>
                    <w:t>0.</w:t>
                  </w:r>
                  <w:r>
                    <w:rPr>
                      <w:rFonts w:hint="default" w:eastAsia="宋体"/>
                      <w:color w:val="auto"/>
                      <w:sz w:val="21"/>
                      <w:szCs w:val="21"/>
                      <w:highlight w:val="none"/>
                      <w:lang w:eastAsia="zh-CN"/>
                    </w:rPr>
                    <w:t>63</w:t>
                  </w:r>
                </w:p>
              </w:tc>
              <w:tc>
                <w:tcPr>
                  <w:tcW w:w="517" w:type="pct"/>
                  <w:vAlign w:val="center"/>
                </w:tcPr>
                <w:p w14:paraId="6CA47946">
                  <w:pPr>
                    <w:keepNext w:val="0"/>
                    <w:keepLines w:val="0"/>
                    <w:pageBreakBefore w:val="0"/>
                    <w:widowControl/>
                    <w:wordWrap/>
                    <w:topLinePunct w:val="0"/>
                    <w:autoSpaceDE w:val="0"/>
                    <w:autoSpaceDN w:val="0"/>
                    <w:bidi w:val="0"/>
                    <w:adjustRightInd w:val="0"/>
                    <w:snapToGrid/>
                    <w:spacing w:line="240" w:lineRule="auto"/>
                    <w:jc w:val="center"/>
                    <w:textAlignment w:val="auto"/>
                    <w:rPr>
                      <w:rFonts w:eastAsia="宋体"/>
                      <w:color w:val="auto"/>
                      <w:sz w:val="21"/>
                      <w:szCs w:val="21"/>
                      <w:highlight w:val="none"/>
                    </w:rPr>
                  </w:pPr>
                  <w:r>
                    <w:rPr>
                      <w:rFonts w:hint="eastAsia" w:eastAsia="宋体"/>
                      <w:color w:val="auto"/>
                      <w:sz w:val="21"/>
                      <w:szCs w:val="21"/>
                      <w:highlight w:val="none"/>
                      <w:lang w:val="en-US" w:eastAsia="zh-CN"/>
                    </w:rPr>
                    <w:t>0.</w:t>
                  </w:r>
                  <w:r>
                    <w:rPr>
                      <w:rFonts w:hint="default" w:eastAsia="宋体"/>
                      <w:color w:val="auto"/>
                      <w:sz w:val="21"/>
                      <w:szCs w:val="21"/>
                      <w:highlight w:val="none"/>
                      <w:lang w:eastAsia="zh-CN"/>
                    </w:rPr>
                    <w:t>60</w:t>
                  </w:r>
                </w:p>
              </w:tc>
              <w:tc>
                <w:tcPr>
                  <w:tcW w:w="509" w:type="pct"/>
                  <w:vAlign w:val="center"/>
                </w:tcPr>
                <w:p w14:paraId="30D1E1D9">
                  <w:pPr>
                    <w:keepNext w:val="0"/>
                    <w:keepLines w:val="0"/>
                    <w:pageBreakBefore w:val="0"/>
                    <w:widowControl/>
                    <w:wordWrap/>
                    <w:topLinePunct w:val="0"/>
                    <w:autoSpaceDE w:val="0"/>
                    <w:autoSpaceDN w:val="0"/>
                    <w:bidi w:val="0"/>
                    <w:adjustRightInd w:val="0"/>
                    <w:snapToGrid/>
                    <w:spacing w:line="240" w:lineRule="auto"/>
                    <w:jc w:val="center"/>
                    <w:textAlignment w:val="auto"/>
                    <w:rPr>
                      <w:rFonts w:eastAsia="宋体"/>
                      <w:color w:val="auto"/>
                      <w:sz w:val="21"/>
                      <w:szCs w:val="21"/>
                      <w:highlight w:val="none"/>
                    </w:rPr>
                  </w:pPr>
                  <w:r>
                    <w:rPr>
                      <w:rFonts w:eastAsia="宋体"/>
                      <w:color w:val="auto"/>
                      <w:sz w:val="21"/>
                      <w:szCs w:val="21"/>
                      <w:highlight w:val="none"/>
                    </w:rPr>
                    <w:t>0.58</w:t>
                  </w:r>
                </w:p>
              </w:tc>
              <w:tc>
                <w:tcPr>
                  <w:tcW w:w="460" w:type="pct"/>
                  <w:vAlign w:val="center"/>
                </w:tcPr>
                <w:p w14:paraId="3481B1C9">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rPr>
                  </w:pPr>
                  <w:r>
                    <w:rPr>
                      <w:rFonts w:eastAsia="宋体"/>
                      <w:color w:val="auto"/>
                      <w:sz w:val="21"/>
                      <w:szCs w:val="21"/>
                      <w:highlight w:val="none"/>
                    </w:rPr>
                    <w:t>2.0</w:t>
                  </w:r>
                </w:p>
              </w:tc>
            </w:tr>
            <w:tr w14:paraId="7FD33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pct"/>
                  <w:vAlign w:val="center"/>
                </w:tcPr>
                <w:p w14:paraId="471A745E">
                  <w:pPr>
                    <w:pStyle w:val="14"/>
                    <w:keepNext w:val="0"/>
                    <w:keepLines w:val="0"/>
                    <w:pageBreakBefore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eastAsia="仿宋"/>
                      <w:color w:val="auto"/>
                      <w:sz w:val="21"/>
                      <w:szCs w:val="21"/>
                      <w:highlight w:val="none"/>
                    </w:rPr>
                    <w:t>G4下风向</w:t>
                  </w:r>
                </w:p>
              </w:tc>
              <w:tc>
                <w:tcPr>
                  <w:tcW w:w="757" w:type="pct"/>
                  <w:vMerge w:val="continue"/>
                  <w:vAlign w:val="center"/>
                </w:tcPr>
                <w:p w14:paraId="2B6D4B4C">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p>
              </w:tc>
              <w:tc>
                <w:tcPr>
                  <w:tcW w:w="474" w:type="pct"/>
                  <w:vAlign w:val="center"/>
                </w:tcPr>
                <w:p w14:paraId="7371E356">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仿宋"/>
                      <w:color w:val="auto"/>
                      <w:sz w:val="21"/>
                      <w:szCs w:val="21"/>
                      <w:highlight w:val="none"/>
                      <w:lang w:val="en-US" w:eastAsia="zh-CN"/>
                    </w:rPr>
                  </w:pPr>
                  <w:r>
                    <w:rPr>
                      <w:rFonts w:hint="eastAsia" w:eastAsia="宋体"/>
                      <w:color w:val="auto"/>
                      <w:sz w:val="21"/>
                      <w:szCs w:val="21"/>
                      <w:highlight w:val="none"/>
                      <w:lang w:val="en-US" w:eastAsia="zh-CN"/>
                    </w:rPr>
                    <w:t>0.60</w:t>
                  </w:r>
                </w:p>
              </w:tc>
              <w:tc>
                <w:tcPr>
                  <w:tcW w:w="488" w:type="pct"/>
                  <w:vAlign w:val="center"/>
                </w:tcPr>
                <w:p w14:paraId="0164DC6D">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仿宋"/>
                      <w:color w:val="auto"/>
                      <w:sz w:val="21"/>
                      <w:szCs w:val="21"/>
                      <w:highlight w:val="none"/>
                      <w:lang w:val="en-US" w:eastAsia="zh-CN"/>
                    </w:rPr>
                  </w:pPr>
                  <w:r>
                    <w:rPr>
                      <w:rFonts w:hint="eastAsia" w:eastAsia="宋体"/>
                      <w:color w:val="auto"/>
                      <w:sz w:val="21"/>
                      <w:szCs w:val="21"/>
                      <w:highlight w:val="none"/>
                      <w:lang w:val="en-US" w:eastAsia="zh-CN"/>
                    </w:rPr>
                    <w:t>0.60</w:t>
                  </w:r>
                </w:p>
              </w:tc>
              <w:tc>
                <w:tcPr>
                  <w:tcW w:w="509" w:type="pct"/>
                  <w:vAlign w:val="center"/>
                </w:tcPr>
                <w:p w14:paraId="607FFC86">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仿宋"/>
                      <w:color w:val="auto"/>
                      <w:sz w:val="21"/>
                      <w:szCs w:val="21"/>
                      <w:highlight w:val="none"/>
                    </w:rPr>
                  </w:pPr>
                  <w:r>
                    <w:rPr>
                      <w:rFonts w:eastAsia="宋体"/>
                      <w:color w:val="auto"/>
                      <w:sz w:val="21"/>
                      <w:szCs w:val="21"/>
                      <w:highlight w:val="none"/>
                    </w:rPr>
                    <w:t>0.59</w:t>
                  </w:r>
                </w:p>
              </w:tc>
              <w:tc>
                <w:tcPr>
                  <w:tcW w:w="531" w:type="pct"/>
                  <w:vAlign w:val="center"/>
                </w:tcPr>
                <w:p w14:paraId="2373CCCC">
                  <w:pPr>
                    <w:keepNext w:val="0"/>
                    <w:keepLines w:val="0"/>
                    <w:pageBreakBefore w:val="0"/>
                    <w:widowControl/>
                    <w:wordWrap/>
                    <w:topLinePunct w:val="0"/>
                    <w:autoSpaceDE w:val="0"/>
                    <w:autoSpaceDN w:val="0"/>
                    <w:bidi w:val="0"/>
                    <w:adjustRightInd w:val="0"/>
                    <w:snapToGrid/>
                    <w:spacing w:line="240" w:lineRule="auto"/>
                    <w:jc w:val="center"/>
                    <w:textAlignment w:val="auto"/>
                    <w:rPr>
                      <w:rFonts w:eastAsia="宋体"/>
                      <w:color w:val="auto"/>
                      <w:sz w:val="21"/>
                      <w:szCs w:val="21"/>
                      <w:highlight w:val="none"/>
                    </w:rPr>
                  </w:pPr>
                  <w:r>
                    <w:rPr>
                      <w:rFonts w:hint="eastAsia" w:eastAsia="宋体"/>
                      <w:color w:val="auto"/>
                      <w:sz w:val="21"/>
                      <w:szCs w:val="21"/>
                      <w:highlight w:val="none"/>
                      <w:lang w:val="en-US" w:eastAsia="zh-CN"/>
                    </w:rPr>
                    <w:t>0.6</w:t>
                  </w:r>
                  <w:r>
                    <w:rPr>
                      <w:rFonts w:hint="default" w:eastAsia="宋体"/>
                      <w:color w:val="auto"/>
                      <w:sz w:val="21"/>
                      <w:szCs w:val="21"/>
                      <w:highlight w:val="none"/>
                      <w:lang w:eastAsia="zh-CN"/>
                    </w:rPr>
                    <w:t>2</w:t>
                  </w:r>
                </w:p>
              </w:tc>
              <w:tc>
                <w:tcPr>
                  <w:tcW w:w="517" w:type="pct"/>
                  <w:vAlign w:val="center"/>
                </w:tcPr>
                <w:p w14:paraId="531F4C70">
                  <w:pPr>
                    <w:keepNext w:val="0"/>
                    <w:keepLines w:val="0"/>
                    <w:pageBreakBefore w:val="0"/>
                    <w:widowControl/>
                    <w:wordWrap/>
                    <w:topLinePunct w:val="0"/>
                    <w:autoSpaceDE w:val="0"/>
                    <w:autoSpaceDN w:val="0"/>
                    <w:bidi w:val="0"/>
                    <w:adjustRightInd w:val="0"/>
                    <w:snapToGrid/>
                    <w:spacing w:line="240" w:lineRule="auto"/>
                    <w:jc w:val="center"/>
                    <w:textAlignment w:val="auto"/>
                    <w:rPr>
                      <w:rFonts w:eastAsia="宋体"/>
                      <w:color w:val="auto"/>
                      <w:sz w:val="21"/>
                      <w:szCs w:val="21"/>
                      <w:highlight w:val="none"/>
                    </w:rPr>
                  </w:pPr>
                  <w:r>
                    <w:rPr>
                      <w:rFonts w:hint="eastAsia" w:eastAsia="宋体"/>
                      <w:color w:val="auto"/>
                      <w:sz w:val="21"/>
                      <w:szCs w:val="21"/>
                      <w:highlight w:val="none"/>
                      <w:lang w:val="en-US" w:eastAsia="zh-CN"/>
                    </w:rPr>
                    <w:t>0.6</w:t>
                  </w:r>
                  <w:r>
                    <w:rPr>
                      <w:rFonts w:hint="default" w:eastAsia="宋体"/>
                      <w:color w:val="auto"/>
                      <w:sz w:val="21"/>
                      <w:szCs w:val="21"/>
                      <w:highlight w:val="none"/>
                      <w:lang w:eastAsia="zh-CN"/>
                    </w:rPr>
                    <w:t>4</w:t>
                  </w:r>
                </w:p>
              </w:tc>
              <w:tc>
                <w:tcPr>
                  <w:tcW w:w="509" w:type="pct"/>
                  <w:vAlign w:val="center"/>
                </w:tcPr>
                <w:p w14:paraId="7A623966">
                  <w:pPr>
                    <w:keepNext w:val="0"/>
                    <w:keepLines w:val="0"/>
                    <w:pageBreakBefore w:val="0"/>
                    <w:widowControl/>
                    <w:wordWrap/>
                    <w:topLinePunct w:val="0"/>
                    <w:autoSpaceDE w:val="0"/>
                    <w:autoSpaceDN w:val="0"/>
                    <w:bidi w:val="0"/>
                    <w:adjustRightInd w:val="0"/>
                    <w:snapToGrid/>
                    <w:spacing w:line="240" w:lineRule="auto"/>
                    <w:jc w:val="center"/>
                    <w:textAlignment w:val="auto"/>
                    <w:rPr>
                      <w:rFonts w:eastAsia="宋体"/>
                      <w:color w:val="auto"/>
                      <w:sz w:val="21"/>
                      <w:szCs w:val="21"/>
                      <w:highlight w:val="none"/>
                    </w:rPr>
                  </w:pPr>
                  <w:r>
                    <w:rPr>
                      <w:rFonts w:eastAsia="宋体"/>
                      <w:color w:val="auto"/>
                      <w:sz w:val="21"/>
                      <w:szCs w:val="21"/>
                      <w:highlight w:val="none"/>
                    </w:rPr>
                    <w:t>0.57</w:t>
                  </w:r>
                </w:p>
              </w:tc>
              <w:tc>
                <w:tcPr>
                  <w:tcW w:w="460" w:type="pct"/>
                  <w:vAlign w:val="center"/>
                </w:tcPr>
                <w:p w14:paraId="657897FB">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rPr>
                  </w:pPr>
                  <w:r>
                    <w:rPr>
                      <w:rFonts w:eastAsia="宋体"/>
                      <w:color w:val="auto"/>
                      <w:sz w:val="21"/>
                      <w:szCs w:val="21"/>
                      <w:highlight w:val="none"/>
                    </w:rPr>
                    <w:t>2.0</w:t>
                  </w:r>
                </w:p>
              </w:tc>
            </w:tr>
            <w:tr w14:paraId="46A7E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pct"/>
                  <w:vAlign w:val="center"/>
                </w:tcPr>
                <w:p w14:paraId="29C7F12B">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hint="eastAsia" w:eastAsia="仿宋"/>
                      <w:color w:val="auto"/>
                      <w:sz w:val="21"/>
                      <w:szCs w:val="21"/>
                      <w:highlight w:val="none"/>
                      <w:lang w:val="en-US" w:eastAsia="zh-CN"/>
                    </w:rPr>
                    <w:t>丙烷/丁烷球罐区下风向</w:t>
                  </w:r>
                </w:p>
              </w:tc>
              <w:tc>
                <w:tcPr>
                  <w:tcW w:w="757" w:type="pct"/>
                  <w:vAlign w:val="center"/>
                </w:tcPr>
                <w:p w14:paraId="13C3E433">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eastAsia="仿宋"/>
                      <w:color w:val="auto"/>
                      <w:sz w:val="21"/>
                      <w:szCs w:val="21"/>
                      <w:highlight w:val="none"/>
                    </w:rPr>
                    <w:t>非甲烷总烃（mg/Nm</w:t>
                  </w:r>
                  <w:r>
                    <w:rPr>
                      <w:rFonts w:eastAsia="仿宋"/>
                      <w:color w:val="auto"/>
                      <w:sz w:val="21"/>
                      <w:szCs w:val="21"/>
                      <w:highlight w:val="none"/>
                      <w:vertAlign w:val="superscript"/>
                    </w:rPr>
                    <w:t>3</w:t>
                  </w:r>
                  <w:r>
                    <w:rPr>
                      <w:rFonts w:eastAsia="仿宋"/>
                      <w:color w:val="auto"/>
                      <w:sz w:val="21"/>
                      <w:szCs w:val="21"/>
                      <w:highlight w:val="none"/>
                    </w:rPr>
                    <w:t>）</w:t>
                  </w:r>
                </w:p>
              </w:tc>
              <w:tc>
                <w:tcPr>
                  <w:tcW w:w="474" w:type="pct"/>
                  <w:vAlign w:val="center"/>
                </w:tcPr>
                <w:p w14:paraId="23F91676">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0.48</w:t>
                  </w:r>
                </w:p>
              </w:tc>
              <w:tc>
                <w:tcPr>
                  <w:tcW w:w="488" w:type="pct"/>
                  <w:vAlign w:val="center"/>
                </w:tcPr>
                <w:p w14:paraId="57A07245">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0.42</w:t>
                  </w:r>
                </w:p>
              </w:tc>
              <w:tc>
                <w:tcPr>
                  <w:tcW w:w="509" w:type="pct"/>
                  <w:vAlign w:val="center"/>
                </w:tcPr>
                <w:p w14:paraId="667012D1">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0.46</w:t>
                  </w:r>
                </w:p>
              </w:tc>
              <w:tc>
                <w:tcPr>
                  <w:tcW w:w="531" w:type="pct"/>
                  <w:vAlign w:val="center"/>
                </w:tcPr>
                <w:p w14:paraId="5569B186">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0.62</w:t>
                  </w:r>
                </w:p>
              </w:tc>
              <w:tc>
                <w:tcPr>
                  <w:tcW w:w="517" w:type="pct"/>
                  <w:vAlign w:val="center"/>
                </w:tcPr>
                <w:p w14:paraId="1535E414">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0.59</w:t>
                  </w:r>
                </w:p>
              </w:tc>
              <w:tc>
                <w:tcPr>
                  <w:tcW w:w="509" w:type="pct"/>
                  <w:vAlign w:val="center"/>
                </w:tcPr>
                <w:p w14:paraId="70D42176">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0.55</w:t>
                  </w:r>
                </w:p>
              </w:tc>
              <w:tc>
                <w:tcPr>
                  <w:tcW w:w="460" w:type="pct"/>
                  <w:vAlign w:val="center"/>
                </w:tcPr>
                <w:p w14:paraId="193B400C">
                  <w:pPr>
                    <w:keepNext w:val="0"/>
                    <w:keepLines w:val="0"/>
                    <w:pageBreakBefore w:val="0"/>
                    <w:widowControl/>
                    <w:wordWrap/>
                    <w:topLinePunct w:val="0"/>
                    <w:autoSpaceDE w:val="0"/>
                    <w:autoSpaceDN w:val="0"/>
                    <w:bidi w:val="0"/>
                    <w:adjustRightInd w:val="0"/>
                    <w:snapToGrid/>
                    <w:spacing w:line="240" w:lineRule="auto"/>
                    <w:jc w:val="center"/>
                    <w:textAlignment w:val="auto"/>
                    <w:rPr>
                      <w:rFonts w:eastAsia="宋体"/>
                      <w:color w:val="auto"/>
                      <w:sz w:val="21"/>
                      <w:szCs w:val="21"/>
                      <w:highlight w:val="none"/>
                    </w:rPr>
                  </w:pPr>
                  <w:r>
                    <w:rPr>
                      <w:rFonts w:hint="eastAsia" w:eastAsia="宋体"/>
                      <w:color w:val="auto"/>
                      <w:sz w:val="21"/>
                      <w:szCs w:val="21"/>
                      <w:highlight w:val="none"/>
                      <w:lang w:val="en-US" w:eastAsia="zh-CN"/>
                    </w:rPr>
                    <w:t>6</w:t>
                  </w:r>
                  <w:r>
                    <w:rPr>
                      <w:rFonts w:eastAsia="宋体"/>
                      <w:color w:val="auto"/>
                      <w:sz w:val="21"/>
                      <w:szCs w:val="21"/>
                      <w:highlight w:val="none"/>
                    </w:rPr>
                    <w:t>.0</w:t>
                  </w:r>
                </w:p>
              </w:tc>
            </w:tr>
            <w:tr w14:paraId="19862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pct"/>
                  <w:vAlign w:val="center"/>
                </w:tcPr>
                <w:p w14:paraId="21C297AD">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hint="eastAsia" w:eastAsia="仿宋"/>
                      <w:color w:val="auto"/>
                      <w:sz w:val="21"/>
                      <w:szCs w:val="21"/>
                      <w:highlight w:val="none"/>
                      <w:lang w:val="en-US" w:eastAsia="zh-CN"/>
                    </w:rPr>
                    <w:t>其他罐组区域下风向</w:t>
                  </w:r>
                </w:p>
              </w:tc>
              <w:tc>
                <w:tcPr>
                  <w:tcW w:w="757" w:type="pct"/>
                  <w:vAlign w:val="center"/>
                </w:tcPr>
                <w:p w14:paraId="090ED1D6">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eastAsia="仿宋"/>
                      <w:color w:val="auto"/>
                      <w:sz w:val="21"/>
                      <w:szCs w:val="21"/>
                      <w:highlight w:val="none"/>
                    </w:rPr>
                    <w:t>非甲烷总烃（mg/Nm</w:t>
                  </w:r>
                  <w:r>
                    <w:rPr>
                      <w:rFonts w:eastAsia="仿宋"/>
                      <w:color w:val="auto"/>
                      <w:sz w:val="21"/>
                      <w:szCs w:val="21"/>
                      <w:highlight w:val="none"/>
                      <w:vertAlign w:val="superscript"/>
                    </w:rPr>
                    <w:t>3</w:t>
                  </w:r>
                  <w:r>
                    <w:rPr>
                      <w:rFonts w:eastAsia="仿宋"/>
                      <w:color w:val="auto"/>
                      <w:sz w:val="21"/>
                      <w:szCs w:val="21"/>
                      <w:highlight w:val="none"/>
                    </w:rPr>
                    <w:t>）</w:t>
                  </w:r>
                </w:p>
              </w:tc>
              <w:tc>
                <w:tcPr>
                  <w:tcW w:w="474" w:type="pct"/>
                  <w:vAlign w:val="center"/>
                </w:tcPr>
                <w:p w14:paraId="1F1598DF">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0.35</w:t>
                  </w:r>
                </w:p>
              </w:tc>
              <w:tc>
                <w:tcPr>
                  <w:tcW w:w="488" w:type="pct"/>
                  <w:vAlign w:val="center"/>
                </w:tcPr>
                <w:p w14:paraId="1503205B">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0.34</w:t>
                  </w:r>
                </w:p>
              </w:tc>
              <w:tc>
                <w:tcPr>
                  <w:tcW w:w="509" w:type="pct"/>
                  <w:vAlign w:val="center"/>
                </w:tcPr>
                <w:p w14:paraId="71FE8BED">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0.34</w:t>
                  </w:r>
                </w:p>
              </w:tc>
              <w:tc>
                <w:tcPr>
                  <w:tcW w:w="531" w:type="pct"/>
                  <w:vAlign w:val="center"/>
                </w:tcPr>
                <w:p w14:paraId="68E629CA">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0.59</w:t>
                  </w:r>
                </w:p>
              </w:tc>
              <w:tc>
                <w:tcPr>
                  <w:tcW w:w="517" w:type="pct"/>
                  <w:vAlign w:val="center"/>
                </w:tcPr>
                <w:p w14:paraId="0FA021A9">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0.66</w:t>
                  </w:r>
                </w:p>
              </w:tc>
              <w:tc>
                <w:tcPr>
                  <w:tcW w:w="509" w:type="pct"/>
                  <w:vAlign w:val="center"/>
                </w:tcPr>
                <w:p w14:paraId="6018CBA8">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0.63</w:t>
                  </w:r>
                </w:p>
              </w:tc>
              <w:tc>
                <w:tcPr>
                  <w:tcW w:w="460" w:type="pct"/>
                  <w:vAlign w:val="center"/>
                </w:tcPr>
                <w:p w14:paraId="3D0C0BC3">
                  <w:pPr>
                    <w:keepNext w:val="0"/>
                    <w:keepLines w:val="0"/>
                    <w:pageBreakBefore w:val="0"/>
                    <w:widowControl/>
                    <w:wordWrap/>
                    <w:topLinePunct w:val="0"/>
                    <w:autoSpaceDE w:val="0"/>
                    <w:autoSpaceDN w:val="0"/>
                    <w:bidi w:val="0"/>
                    <w:adjustRightInd w:val="0"/>
                    <w:snapToGrid/>
                    <w:spacing w:line="240" w:lineRule="auto"/>
                    <w:jc w:val="center"/>
                    <w:textAlignment w:val="auto"/>
                    <w:rPr>
                      <w:rFonts w:eastAsia="宋体"/>
                      <w:color w:val="auto"/>
                      <w:sz w:val="21"/>
                      <w:szCs w:val="21"/>
                      <w:highlight w:val="none"/>
                    </w:rPr>
                  </w:pPr>
                  <w:r>
                    <w:rPr>
                      <w:rFonts w:hint="eastAsia" w:eastAsia="宋体"/>
                      <w:color w:val="auto"/>
                      <w:sz w:val="21"/>
                      <w:szCs w:val="21"/>
                      <w:highlight w:val="none"/>
                      <w:lang w:val="en-US" w:eastAsia="zh-CN"/>
                    </w:rPr>
                    <w:t>6</w:t>
                  </w:r>
                  <w:r>
                    <w:rPr>
                      <w:rFonts w:eastAsia="宋体"/>
                      <w:color w:val="auto"/>
                      <w:sz w:val="21"/>
                      <w:szCs w:val="21"/>
                      <w:highlight w:val="none"/>
                    </w:rPr>
                    <w:t>.0</w:t>
                  </w:r>
                </w:p>
              </w:tc>
            </w:tr>
            <w:tr w14:paraId="618C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pct"/>
                  <w:vAlign w:val="center"/>
                </w:tcPr>
                <w:p w14:paraId="0827A8F1">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hint="eastAsia" w:eastAsia="仿宋"/>
                      <w:color w:val="auto"/>
                      <w:sz w:val="21"/>
                      <w:szCs w:val="21"/>
                      <w:highlight w:val="none"/>
                      <w:lang w:val="en-US" w:eastAsia="zh-CN"/>
                    </w:rPr>
                    <w:t>地面火炬系统下风向</w:t>
                  </w:r>
                </w:p>
              </w:tc>
              <w:tc>
                <w:tcPr>
                  <w:tcW w:w="757" w:type="pct"/>
                  <w:vAlign w:val="center"/>
                </w:tcPr>
                <w:p w14:paraId="0D16CEC2">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jc w:val="center"/>
                    <w:textAlignment w:val="auto"/>
                    <w:rPr>
                      <w:rFonts w:eastAsia="仿宋"/>
                      <w:color w:val="auto"/>
                      <w:sz w:val="21"/>
                      <w:szCs w:val="21"/>
                      <w:highlight w:val="none"/>
                    </w:rPr>
                  </w:pPr>
                  <w:r>
                    <w:rPr>
                      <w:rFonts w:eastAsia="仿宋"/>
                      <w:color w:val="auto"/>
                      <w:sz w:val="21"/>
                      <w:szCs w:val="21"/>
                      <w:highlight w:val="none"/>
                    </w:rPr>
                    <w:t>非甲烷总烃（mg/Nm</w:t>
                  </w:r>
                  <w:r>
                    <w:rPr>
                      <w:rFonts w:eastAsia="仿宋"/>
                      <w:color w:val="auto"/>
                      <w:sz w:val="21"/>
                      <w:szCs w:val="21"/>
                      <w:highlight w:val="none"/>
                      <w:vertAlign w:val="superscript"/>
                    </w:rPr>
                    <w:t>3</w:t>
                  </w:r>
                  <w:r>
                    <w:rPr>
                      <w:rFonts w:eastAsia="仿宋"/>
                      <w:color w:val="auto"/>
                      <w:sz w:val="21"/>
                      <w:szCs w:val="21"/>
                      <w:highlight w:val="none"/>
                    </w:rPr>
                    <w:t>）</w:t>
                  </w:r>
                </w:p>
              </w:tc>
              <w:tc>
                <w:tcPr>
                  <w:tcW w:w="474" w:type="pct"/>
                  <w:vAlign w:val="center"/>
                </w:tcPr>
                <w:p w14:paraId="25140AA2">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0.38</w:t>
                  </w:r>
                </w:p>
              </w:tc>
              <w:tc>
                <w:tcPr>
                  <w:tcW w:w="488" w:type="pct"/>
                  <w:vAlign w:val="center"/>
                </w:tcPr>
                <w:p w14:paraId="595557B2">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0.38</w:t>
                  </w:r>
                </w:p>
              </w:tc>
              <w:tc>
                <w:tcPr>
                  <w:tcW w:w="509" w:type="pct"/>
                  <w:vAlign w:val="center"/>
                </w:tcPr>
                <w:p w14:paraId="30418B7B">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0.37</w:t>
                  </w:r>
                </w:p>
              </w:tc>
              <w:tc>
                <w:tcPr>
                  <w:tcW w:w="531" w:type="pct"/>
                  <w:vAlign w:val="center"/>
                </w:tcPr>
                <w:p w14:paraId="6BC115D6">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0.61</w:t>
                  </w:r>
                </w:p>
              </w:tc>
              <w:tc>
                <w:tcPr>
                  <w:tcW w:w="517" w:type="pct"/>
                  <w:vAlign w:val="center"/>
                </w:tcPr>
                <w:p w14:paraId="0D1ACBD1">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0.57</w:t>
                  </w:r>
                </w:p>
              </w:tc>
              <w:tc>
                <w:tcPr>
                  <w:tcW w:w="509" w:type="pct"/>
                  <w:vAlign w:val="center"/>
                </w:tcPr>
                <w:p w14:paraId="3E546333">
                  <w:pPr>
                    <w:keepNext w:val="0"/>
                    <w:keepLines w:val="0"/>
                    <w:pageBreakBefore w:val="0"/>
                    <w:widowControl/>
                    <w:wordWrap/>
                    <w:topLinePunct w:val="0"/>
                    <w:autoSpaceDE w:val="0"/>
                    <w:autoSpaceDN w:val="0"/>
                    <w:bidi w:val="0"/>
                    <w:adjustRightInd w:val="0"/>
                    <w:snapToGrid/>
                    <w:spacing w:line="240" w:lineRule="auto"/>
                    <w:jc w:val="center"/>
                    <w:textAlignment w:val="auto"/>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0.56</w:t>
                  </w:r>
                </w:p>
              </w:tc>
              <w:tc>
                <w:tcPr>
                  <w:tcW w:w="460" w:type="pct"/>
                  <w:vAlign w:val="center"/>
                </w:tcPr>
                <w:p w14:paraId="15423C28">
                  <w:pPr>
                    <w:keepNext w:val="0"/>
                    <w:keepLines w:val="0"/>
                    <w:pageBreakBefore w:val="0"/>
                    <w:widowControl/>
                    <w:wordWrap/>
                    <w:topLinePunct w:val="0"/>
                    <w:autoSpaceDE w:val="0"/>
                    <w:autoSpaceDN w:val="0"/>
                    <w:bidi w:val="0"/>
                    <w:adjustRightInd w:val="0"/>
                    <w:snapToGrid/>
                    <w:spacing w:line="240" w:lineRule="auto"/>
                    <w:jc w:val="center"/>
                    <w:textAlignment w:val="auto"/>
                    <w:rPr>
                      <w:rFonts w:eastAsia="宋体"/>
                      <w:color w:val="auto"/>
                      <w:sz w:val="21"/>
                      <w:szCs w:val="21"/>
                      <w:highlight w:val="none"/>
                    </w:rPr>
                  </w:pPr>
                  <w:r>
                    <w:rPr>
                      <w:rFonts w:hint="eastAsia" w:eastAsia="宋体"/>
                      <w:color w:val="auto"/>
                      <w:sz w:val="21"/>
                      <w:szCs w:val="21"/>
                      <w:highlight w:val="none"/>
                      <w:lang w:val="en-US" w:eastAsia="zh-CN"/>
                    </w:rPr>
                    <w:t>6</w:t>
                  </w:r>
                  <w:r>
                    <w:rPr>
                      <w:rFonts w:eastAsia="宋体"/>
                      <w:color w:val="auto"/>
                      <w:sz w:val="21"/>
                      <w:szCs w:val="21"/>
                      <w:highlight w:val="none"/>
                    </w:rPr>
                    <w:t>.0</w:t>
                  </w:r>
                </w:p>
              </w:tc>
            </w:tr>
          </w:tbl>
          <w:p w14:paraId="228C6B54">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422" w:firstLineChars="200"/>
              <w:jc w:val="both"/>
              <w:textAlignment w:val="auto"/>
              <w:rPr>
                <w:rFonts w:hint="default" w:eastAsia="仿宋"/>
                <w:b/>
                <w:color w:val="auto"/>
                <w:kern w:val="2"/>
                <w:sz w:val="21"/>
                <w:szCs w:val="21"/>
                <w:highlight w:val="none"/>
                <w:lang w:val="en-US" w:eastAsia="zh-CN"/>
              </w:rPr>
            </w:pPr>
            <w:r>
              <w:rPr>
                <w:rFonts w:hint="eastAsia" w:eastAsia="仿宋"/>
                <w:b/>
                <w:color w:val="auto"/>
                <w:kern w:val="2"/>
                <w:sz w:val="21"/>
                <w:szCs w:val="21"/>
                <w:highlight w:val="none"/>
                <w:lang w:val="en-US" w:eastAsia="zh-CN"/>
              </w:rPr>
              <w:t>备注：本次验收期间风天气多云，风速1.8m/s~2.2m/s，风向为北风。</w:t>
            </w:r>
          </w:p>
          <w:p w14:paraId="0D4AEFFB">
            <w:pPr>
              <w:pStyle w:val="14"/>
              <w:keepNext w:val="0"/>
              <w:keepLines w:val="0"/>
              <w:pageBreakBefore w:val="0"/>
              <w:widowControl w:val="0"/>
              <w:kinsoku w:val="0"/>
              <w:wordWrap/>
              <w:overflowPunct w:val="0"/>
              <w:topLinePunct w:val="0"/>
              <w:bidi w:val="0"/>
              <w:snapToGrid/>
              <w:spacing w:line="500" w:lineRule="exact"/>
              <w:ind w:left="102" w:firstLine="422" w:firstLineChars="200"/>
              <w:jc w:val="center"/>
              <w:textAlignment w:val="auto"/>
              <w:rPr>
                <w:rFonts w:hint="default" w:eastAsia="仿宋"/>
                <w:b/>
                <w:color w:val="auto"/>
                <w:kern w:val="2"/>
                <w:sz w:val="21"/>
                <w:szCs w:val="21"/>
                <w:highlight w:val="none"/>
              </w:rPr>
            </w:pPr>
          </w:p>
          <w:p w14:paraId="224A4CAA">
            <w:pPr>
              <w:pStyle w:val="14"/>
              <w:keepNext w:val="0"/>
              <w:keepLines w:val="0"/>
              <w:pageBreakBefore w:val="0"/>
              <w:widowControl w:val="0"/>
              <w:kinsoku w:val="0"/>
              <w:wordWrap/>
              <w:overflowPunct w:val="0"/>
              <w:topLinePunct w:val="0"/>
              <w:bidi w:val="0"/>
              <w:snapToGrid/>
              <w:spacing w:line="500" w:lineRule="exact"/>
              <w:ind w:left="102" w:firstLine="422" w:firstLineChars="200"/>
              <w:jc w:val="center"/>
              <w:textAlignment w:val="auto"/>
              <w:rPr>
                <w:rFonts w:hint="eastAsia" w:eastAsia="仿宋"/>
                <w:b/>
                <w:color w:val="auto"/>
                <w:kern w:val="2"/>
                <w:sz w:val="21"/>
                <w:szCs w:val="21"/>
                <w:highlight w:val="none"/>
                <w:lang w:val="en-US" w:eastAsia="zh-CN"/>
              </w:rPr>
            </w:pPr>
            <w:r>
              <w:rPr>
                <w:rFonts w:hint="default" w:eastAsia="仿宋"/>
                <w:b/>
                <w:color w:val="auto"/>
                <w:kern w:val="2"/>
                <w:sz w:val="21"/>
                <w:szCs w:val="21"/>
                <w:highlight w:val="none"/>
              </w:rPr>
              <w:t>表</w:t>
            </w:r>
            <w:r>
              <w:rPr>
                <w:rFonts w:hint="eastAsia" w:eastAsia="仿宋"/>
                <w:b/>
                <w:color w:val="auto"/>
                <w:kern w:val="2"/>
                <w:sz w:val="21"/>
                <w:szCs w:val="21"/>
                <w:highlight w:val="none"/>
                <w:lang w:val="en-US" w:eastAsia="zh-CN"/>
              </w:rPr>
              <w:t>5-4</w:t>
            </w:r>
            <w:r>
              <w:rPr>
                <w:rFonts w:hint="default" w:eastAsia="仿宋"/>
                <w:b/>
                <w:color w:val="auto"/>
                <w:kern w:val="2"/>
                <w:sz w:val="21"/>
                <w:szCs w:val="21"/>
                <w:highlight w:val="none"/>
              </w:rPr>
              <w:t xml:space="preserve"> </w:t>
            </w:r>
            <w:r>
              <w:rPr>
                <w:rFonts w:hint="eastAsia" w:eastAsia="仿宋"/>
                <w:b/>
                <w:color w:val="auto"/>
                <w:kern w:val="2"/>
                <w:sz w:val="21"/>
                <w:szCs w:val="21"/>
                <w:highlight w:val="none"/>
                <w:lang w:val="en-US" w:eastAsia="zh-CN"/>
              </w:rPr>
              <w:t>项目</w:t>
            </w:r>
            <w:r>
              <w:rPr>
                <w:rFonts w:hint="default" w:eastAsia="仿宋"/>
                <w:b/>
                <w:color w:val="auto"/>
                <w:kern w:val="2"/>
                <w:sz w:val="21"/>
                <w:szCs w:val="21"/>
                <w:highlight w:val="none"/>
              </w:rPr>
              <w:t>噪声</w:t>
            </w:r>
            <w:r>
              <w:rPr>
                <w:rFonts w:hint="eastAsia" w:eastAsia="仿宋"/>
                <w:b/>
                <w:color w:val="auto"/>
                <w:kern w:val="2"/>
                <w:sz w:val="21"/>
                <w:szCs w:val="21"/>
                <w:highlight w:val="none"/>
                <w:lang w:val="en-US" w:eastAsia="zh-CN"/>
              </w:rPr>
              <w:t>检测</w:t>
            </w:r>
            <w:r>
              <w:rPr>
                <w:rFonts w:hint="default" w:eastAsia="仿宋"/>
                <w:b/>
                <w:color w:val="auto"/>
                <w:kern w:val="2"/>
                <w:sz w:val="21"/>
                <w:szCs w:val="21"/>
                <w:highlight w:val="none"/>
              </w:rPr>
              <w:t>结果</w:t>
            </w:r>
            <w:r>
              <w:rPr>
                <w:rFonts w:hint="eastAsia" w:eastAsia="仿宋"/>
                <w:b/>
                <w:color w:val="auto"/>
                <w:kern w:val="2"/>
                <w:sz w:val="21"/>
                <w:szCs w:val="21"/>
                <w:highlight w:val="none"/>
                <w:lang w:val="en-US" w:eastAsia="zh-CN"/>
              </w:rPr>
              <w:t>表</w:t>
            </w:r>
          </w:p>
          <w:tbl>
            <w:tblPr>
              <w:tblStyle w:val="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4"/>
              <w:gridCol w:w="1757"/>
              <w:gridCol w:w="1932"/>
              <w:gridCol w:w="1649"/>
              <w:gridCol w:w="1714"/>
            </w:tblGrid>
            <w:tr w14:paraId="1CB0F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04" w:type="dxa"/>
                  <w:vMerge w:val="restart"/>
                  <w:vAlign w:val="center"/>
                </w:tcPr>
                <w:p w14:paraId="2993E462">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rPr>
                  </w:pPr>
                  <w:r>
                    <w:rPr>
                      <w:rFonts w:hint="default" w:eastAsia="仿宋"/>
                      <w:b w:val="0"/>
                      <w:bCs/>
                      <w:color w:val="auto"/>
                      <w:kern w:val="2"/>
                      <w:sz w:val="21"/>
                      <w:szCs w:val="21"/>
                      <w:highlight w:val="none"/>
                    </w:rPr>
                    <w:t>监测点位</w:t>
                  </w:r>
                </w:p>
              </w:tc>
              <w:tc>
                <w:tcPr>
                  <w:tcW w:w="3689" w:type="dxa"/>
                  <w:gridSpan w:val="2"/>
                  <w:tcBorders>
                    <w:bottom w:val="single" w:color="auto" w:sz="4" w:space="0"/>
                  </w:tcBorders>
                  <w:vAlign w:val="center"/>
                </w:tcPr>
                <w:p w14:paraId="1E588948">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eastAsia" w:eastAsia="仿宋"/>
                      <w:b w:val="0"/>
                      <w:bCs/>
                      <w:color w:val="auto"/>
                      <w:kern w:val="2"/>
                      <w:sz w:val="21"/>
                      <w:szCs w:val="21"/>
                      <w:highlight w:val="none"/>
                      <w:lang w:val="en-US" w:eastAsia="zh-CN"/>
                    </w:rPr>
                  </w:pPr>
                  <w:r>
                    <w:rPr>
                      <w:rFonts w:hint="default" w:eastAsia="仿宋"/>
                      <w:b w:val="0"/>
                      <w:bCs/>
                      <w:color w:val="auto"/>
                      <w:kern w:val="2"/>
                      <w:sz w:val="21"/>
                      <w:szCs w:val="21"/>
                      <w:highlight w:val="none"/>
                    </w:rPr>
                    <w:t>202</w:t>
                  </w:r>
                  <w:r>
                    <w:rPr>
                      <w:rFonts w:hint="eastAsia" w:eastAsia="仿宋"/>
                      <w:b w:val="0"/>
                      <w:bCs/>
                      <w:color w:val="auto"/>
                      <w:kern w:val="2"/>
                      <w:sz w:val="21"/>
                      <w:szCs w:val="21"/>
                      <w:highlight w:val="none"/>
                      <w:lang w:val="en-US" w:eastAsia="zh-CN"/>
                    </w:rPr>
                    <w:t>5</w:t>
                  </w:r>
                  <w:r>
                    <w:rPr>
                      <w:rFonts w:hint="default" w:eastAsia="仿宋"/>
                      <w:b w:val="0"/>
                      <w:bCs/>
                      <w:color w:val="auto"/>
                      <w:kern w:val="2"/>
                      <w:sz w:val="21"/>
                      <w:szCs w:val="21"/>
                      <w:highlight w:val="none"/>
                    </w:rPr>
                    <w:t>年</w:t>
                  </w:r>
                  <w:r>
                    <w:rPr>
                      <w:rFonts w:hint="eastAsia" w:eastAsia="仿宋"/>
                      <w:b w:val="0"/>
                      <w:bCs/>
                      <w:color w:val="auto"/>
                      <w:kern w:val="2"/>
                      <w:sz w:val="21"/>
                      <w:szCs w:val="21"/>
                      <w:highlight w:val="none"/>
                      <w:lang w:val="en-US" w:eastAsia="zh-CN"/>
                    </w:rPr>
                    <w:t>9</w:t>
                  </w:r>
                  <w:r>
                    <w:rPr>
                      <w:rFonts w:hint="default" w:eastAsia="仿宋"/>
                      <w:b w:val="0"/>
                      <w:bCs/>
                      <w:color w:val="auto"/>
                      <w:kern w:val="2"/>
                      <w:sz w:val="21"/>
                      <w:szCs w:val="21"/>
                      <w:highlight w:val="none"/>
                    </w:rPr>
                    <w:t>月</w:t>
                  </w:r>
                  <w:r>
                    <w:rPr>
                      <w:rFonts w:hint="eastAsia" w:eastAsia="仿宋"/>
                      <w:b w:val="0"/>
                      <w:bCs/>
                      <w:color w:val="auto"/>
                      <w:kern w:val="2"/>
                      <w:sz w:val="21"/>
                      <w:szCs w:val="21"/>
                      <w:highlight w:val="none"/>
                      <w:lang w:val="en-US" w:eastAsia="zh-CN"/>
                    </w:rPr>
                    <w:t>04</w:t>
                  </w:r>
                  <w:r>
                    <w:rPr>
                      <w:rFonts w:hint="default" w:eastAsia="仿宋"/>
                      <w:b w:val="0"/>
                      <w:bCs/>
                      <w:color w:val="auto"/>
                      <w:kern w:val="2"/>
                      <w:sz w:val="21"/>
                      <w:szCs w:val="21"/>
                      <w:highlight w:val="none"/>
                    </w:rPr>
                    <w:t>日</w:t>
                  </w:r>
                  <w:r>
                    <w:rPr>
                      <w:rFonts w:hint="eastAsia" w:eastAsia="仿宋"/>
                      <w:b w:val="0"/>
                      <w:bCs/>
                      <w:color w:val="auto"/>
                      <w:kern w:val="2"/>
                      <w:sz w:val="21"/>
                      <w:szCs w:val="21"/>
                      <w:highlight w:val="none"/>
                      <w:lang w:val="en-US" w:eastAsia="zh-CN"/>
                    </w:rPr>
                    <w:t>-</w:t>
                  </w:r>
                  <w:r>
                    <w:rPr>
                      <w:rFonts w:hint="default" w:eastAsia="仿宋"/>
                      <w:b w:val="0"/>
                      <w:bCs/>
                      <w:color w:val="auto"/>
                      <w:kern w:val="2"/>
                      <w:sz w:val="21"/>
                      <w:szCs w:val="21"/>
                      <w:highlight w:val="none"/>
                    </w:rPr>
                    <w:t>202</w:t>
                  </w:r>
                  <w:r>
                    <w:rPr>
                      <w:rFonts w:hint="eastAsia" w:eastAsia="仿宋"/>
                      <w:b w:val="0"/>
                      <w:bCs/>
                      <w:color w:val="auto"/>
                      <w:kern w:val="2"/>
                      <w:sz w:val="21"/>
                      <w:szCs w:val="21"/>
                      <w:highlight w:val="none"/>
                      <w:lang w:val="en-US" w:eastAsia="zh-CN"/>
                    </w:rPr>
                    <w:t>5</w:t>
                  </w:r>
                  <w:r>
                    <w:rPr>
                      <w:rFonts w:hint="default" w:eastAsia="仿宋"/>
                      <w:b w:val="0"/>
                      <w:bCs/>
                      <w:color w:val="auto"/>
                      <w:kern w:val="2"/>
                      <w:sz w:val="21"/>
                      <w:szCs w:val="21"/>
                      <w:highlight w:val="none"/>
                    </w:rPr>
                    <w:t>年</w:t>
                  </w:r>
                  <w:r>
                    <w:rPr>
                      <w:rFonts w:hint="eastAsia" w:eastAsia="仿宋"/>
                      <w:b w:val="0"/>
                      <w:bCs/>
                      <w:color w:val="auto"/>
                      <w:kern w:val="2"/>
                      <w:sz w:val="21"/>
                      <w:szCs w:val="21"/>
                      <w:highlight w:val="none"/>
                      <w:lang w:val="en-US" w:eastAsia="zh-CN"/>
                    </w:rPr>
                    <w:t>9</w:t>
                  </w:r>
                  <w:r>
                    <w:rPr>
                      <w:rFonts w:hint="default" w:eastAsia="仿宋"/>
                      <w:b w:val="0"/>
                      <w:bCs/>
                      <w:color w:val="auto"/>
                      <w:kern w:val="2"/>
                      <w:sz w:val="21"/>
                      <w:szCs w:val="21"/>
                      <w:highlight w:val="none"/>
                    </w:rPr>
                    <w:t>月</w:t>
                  </w:r>
                  <w:r>
                    <w:rPr>
                      <w:rFonts w:hint="eastAsia" w:eastAsia="仿宋"/>
                      <w:b w:val="0"/>
                      <w:bCs/>
                      <w:color w:val="auto"/>
                      <w:kern w:val="2"/>
                      <w:sz w:val="21"/>
                      <w:szCs w:val="21"/>
                      <w:highlight w:val="none"/>
                      <w:lang w:val="en-US" w:eastAsia="zh-CN"/>
                    </w:rPr>
                    <w:t>05</w:t>
                  </w:r>
                  <w:r>
                    <w:rPr>
                      <w:rFonts w:hint="default" w:eastAsia="仿宋"/>
                      <w:b w:val="0"/>
                      <w:bCs/>
                      <w:color w:val="auto"/>
                      <w:kern w:val="2"/>
                      <w:sz w:val="21"/>
                      <w:szCs w:val="21"/>
                      <w:highlight w:val="none"/>
                    </w:rPr>
                    <w:t>日</w:t>
                  </w:r>
                </w:p>
              </w:tc>
              <w:tc>
                <w:tcPr>
                  <w:tcW w:w="3363" w:type="dxa"/>
                  <w:gridSpan w:val="2"/>
                  <w:tcBorders>
                    <w:bottom w:val="single" w:color="auto" w:sz="4" w:space="0"/>
                  </w:tcBorders>
                  <w:vAlign w:val="center"/>
                </w:tcPr>
                <w:p w14:paraId="146BEB99">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rPr>
                  </w:pPr>
                  <w:r>
                    <w:rPr>
                      <w:rFonts w:hint="default" w:eastAsia="仿宋"/>
                      <w:b w:val="0"/>
                      <w:bCs/>
                      <w:color w:val="auto"/>
                      <w:kern w:val="2"/>
                      <w:sz w:val="21"/>
                      <w:szCs w:val="21"/>
                      <w:highlight w:val="none"/>
                    </w:rPr>
                    <w:t>202</w:t>
                  </w:r>
                  <w:r>
                    <w:rPr>
                      <w:rFonts w:hint="eastAsia" w:eastAsia="仿宋"/>
                      <w:b w:val="0"/>
                      <w:bCs/>
                      <w:color w:val="auto"/>
                      <w:kern w:val="2"/>
                      <w:sz w:val="21"/>
                      <w:szCs w:val="21"/>
                      <w:highlight w:val="none"/>
                      <w:lang w:val="en-US" w:eastAsia="zh-CN"/>
                    </w:rPr>
                    <w:t>5</w:t>
                  </w:r>
                  <w:r>
                    <w:rPr>
                      <w:rFonts w:hint="default" w:eastAsia="仿宋"/>
                      <w:b w:val="0"/>
                      <w:bCs/>
                      <w:color w:val="auto"/>
                      <w:kern w:val="2"/>
                      <w:sz w:val="21"/>
                      <w:szCs w:val="21"/>
                      <w:highlight w:val="none"/>
                    </w:rPr>
                    <w:t>年</w:t>
                  </w:r>
                  <w:r>
                    <w:rPr>
                      <w:rFonts w:hint="eastAsia" w:eastAsia="仿宋"/>
                      <w:b w:val="0"/>
                      <w:bCs/>
                      <w:color w:val="auto"/>
                      <w:kern w:val="2"/>
                      <w:sz w:val="21"/>
                      <w:szCs w:val="21"/>
                      <w:highlight w:val="none"/>
                      <w:lang w:val="en-US" w:eastAsia="zh-CN"/>
                    </w:rPr>
                    <w:t>9</w:t>
                  </w:r>
                  <w:r>
                    <w:rPr>
                      <w:rFonts w:hint="default" w:eastAsia="仿宋"/>
                      <w:b w:val="0"/>
                      <w:bCs/>
                      <w:color w:val="auto"/>
                      <w:kern w:val="2"/>
                      <w:sz w:val="21"/>
                      <w:szCs w:val="21"/>
                      <w:highlight w:val="none"/>
                    </w:rPr>
                    <w:t>月</w:t>
                  </w:r>
                  <w:r>
                    <w:rPr>
                      <w:rFonts w:hint="eastAsia" w:eastAsia="仿宋"/>
                      <w:b w:val="0"/>
                      <w:bCs/>
                      <w:color w:val="auto"/>
                      <w:kern w:val="2"/>
                      <w:sz w:val="21"/>
                      <w:szCs w:val="21"/>
                      <w:highlight w:val="none"/>
                      <w:lang w:val="en-US" w:eastAsia="zh-CN"/>
                    </w:rPr>
                    <w:t>05</w:t>
                  </w:r>
                  <w:r>
                    <w:rPr>
                      <w:rFonts w:hint="default" w:eastAsia="仿宋"/>
                      <w:b w:val="0"/>
                      <w:bCs/>
                      <w:color w:val="auto"/>
                      <w:kern w:val="2"/>
                      <w:sz w:val="21"/>
                      <w:szCs w:val="21"/>
                      <w:highlight w:val="none"/>
                    </w:rPr>
                    <w:t>日</w:t>
                  </w:r>
                </w:p>
              </w:tc>
            </w:tr>
            <w:tr w14:paraId="2F84A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2104" w:type="dxa"/>
                  <w:vMerge w:val="continue"/>
                  <w:vAlign w:val="center"/>
                </w:tcPr>
                <w:p w14:paraId="3ADD2E62">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rPr>
                  </w:pPr>
                </w:p>
              </w:tc>
              <w:tc>
                <w:tcPr>
                  <w:tcW w:w="1757" w:type="dxa"/>
                  <w:vAlign w:val="center"/>
                </w:tcPr>
                <w:p w14:paraId="1F30B5DC">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rPr>
                  </w:pPr>
                  <w:r>
                    <w:rPr>
                      <w:rFonts w:hint="default" w:eastAsia="仿宋"/>
                      <w:b w:val="0"/>
                      <w:bCs/>
                      <w:color w:val="auto"/>
                      <w:kern w:val="2"/>
                      <w:sz w:val="21"/>
                      <w:szCs w:val="21"/>
                      <w:highlight w:val="none"/>
                    </w:rPr>
                    <w:t>昼间</w:t>
                  </w:r>
                </w:p>
              </w:tc>
              <w:tc>
                <w:tcPr>
                  <w:tcW w:w="1932" w:type="dxa"/>
                  <w:vAlign w:val="center"/>
                </w:tcPr>
                <w:p w14:paraId="111F33BB">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rPr>
                  </w:pPr>
                  <w:r>
                    <w:rPr>
                      <w:rFonts w:hint="default" w:eastAsia="仿宋"/>
                      <w:b w:val="0"/>
                      <w:bCs/>
                      <w:color w:val="auto"/>
                      <w:kern w:val="2"/>
                      <w:sz w:val="21"/>
                      <w:szCs w:val="21"/>
                      <w:highlight w:val="none"/>
                    </w:rPr>
                    <w:t>夜间</w:t>
                  </w:r>
                </w:p>
              </w:tc>
              <w:tc>
                <w:tcPr>
                  <w:tcW w:w="1649" w:type="dxa"/>
                  <w:vAlign w:val="center"/>
                </w:tcPr>
                <w:p w14:paraId="0C70A0EF">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rPr>
                  </w:pPr>
                  <w:r>
                    <w:rPr>
                      <w:rFonts w:hint="default" w:eastAsia="仿宋"/>
                      <w:b w:val="0"/>
                      <w:bCs/>
                      <w:color w:val="auto"/>
                      <w:kern w:val="2"/>
                      <w:sz w:val="21"/>
                      <w:szCs w:val="21"/>
                      <w:highlight w:val="none"/>
                    </w:rPr>
                    <w:t>昼间</w:t>
                  </w:r>
                </w:p>
              </w:tc>
              <w:tc>
                <w:tcPr>
                  <w:tcW w:w="1714" w:type="dxa"/>
                  <w:vAlign w:val="center"/>
                </w:tcPr>
                <w:p w14:paraId="511785F6">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rPr>
                  </w:pPr>
                  <w:r>
                    <w:rPr>
                      <w:rFonts w:hint="default" w:eastAsia="仿宋"/>
                      <w:b w:val="0"/>
                      <w:bCs/>
                      <w:color w:val="auto"/>
                      <w:kern w:val="2"/>
                      <w:sz w:val="21"/>
                      <w:szCs w:val="21"/>
                      <w:highlight w:val="none"/>
                    </w:rPr>
                    <w:t>夜间</w:t>
                  </w:r>
                </w:p>
              </w:tc>
            </w:tr>
            <w:tr w14:paraId="54177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04" w:type="dxa"/>
                  <w:tcBorders>
                    <w:bottom w:val="single" w:color="auto" w:sz="4" w:space="0"/>
                  </w:tcBorders>
                  <w:vAlign w:val="center"/>
                </w:tcPr>
                <w:p w14:paraId="24D0E6CB">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rPr>
                  </w:pPr>
                  <w:r>
                    <w:rPr>
                      <w:rFonts w:hint="default" w:eastAsia="仿宋"/>
                      <w:b w:val="0"/>
                      <w:bCs/>
                      <w:color w:val="auto"/>
                      <w:kern w:val="2"/>
                      <w:sz w:val="21"/>
                      <w:szCs w:val="21"/>
                      <w:highlight w:val="none"/>
                    </w:rPr>
                    <w:t>N1东厂界外1米</w:t>
                  </w:r>
                </w:p>
              </w:tc>
              <w:tc>
                <w:tcPr>
                  <w:tcW w:w="1757" w:type="dxa"/>
                  <w:tcBorders>
                    <w:bottom w:val="single" w:color="auto" w:sz="4" w:space="0"/>
                  </w:tcBorders>
                  <w:vAlign w:val="center"/>
                </w:tcPr>
                <w:p w14:paraId="3F61629A">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lang w:val="en-US" w:eastAsia="zh-CN"/>
                    </w:rPr>
                  </w:pPr>
                  <w:r>
                    <w:rPr>
                      <w:rFonts w:hint="default" w:eastAsia="仿宋"/>
                      <w:b w:val="0"/>
                      <w:bCs/>
                      <w:color w:val="auto"/>
                      <w:kern w:val="2"/>
                      <w:sz w:val="21"/>
                      <w:szCs w:val="21"/>
                      <w:highlight w:val="none"/>
                      <w:lang w:val="en-US" w:eastAsia="zh-CN"/>
                    </w:rPr>
                    <w:t>5</w:t>
                  </w:r>
                  <w:r>
                    <w:rPr>
                      <w:rFonts w:hint="eastAsia" w:eastAsia="仿宋"/>
                      <w:b w:val="0"/>
                      <w:bCs/>
                      <w:color w:val="auto"/>
                      <w:kern w:val="2"/>
                      <w:sz w:val="21"/>
                      <w:szCs w:val="21"/>
                      <w:highlight w:val="none"/>
                      <w:lang w:val="en-US" w:eastAsia="zh-CN"/>
                    </w:rPr>
                    <w:t>0</w:t>
                  </w:r>
                </w:p>
              </w:tc>
              <w:tc>
                <w:tcPr>
                  <w:tcW w:w="1932" w:type="dxa"/>
                  <w:tcBorders>
                    <w:bottom w:val="single" w:color="auto" w:sz="4" w:space="0"/>
                  </w:tcBorders>
                  <w:vAlign w:val="center"/>
                </w:tcPr>
                <w:p w14:paraId="002B725E">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lang w:eastAsia="zh-CN"/>
                    </w:rPr>
                  </w:pPr>
                  <w:r>
                    <w:rPr>
                      <w:rFonts w:hint="default" w:eastAsia="仿宋"/>
                      <w:b w:val="0"/>
                      <w:bCs/>
                      <w:color w:val="auto"/>
                      <w:kern w:val="2"/>
                      <w:sz w:val="21"/>
                      <w:szCs w:val="21"/>
                      <w:highlight w:val="none"/>
                    </w:rPr>
                    <w:t>4</w:t>
                  </w:r>
                  <w:r>
                    <w:rPr>
                      <w:rFonts w:hint="eastAsia" w:eastAsia="仿宋"/>
                      <w:b w:val="0"/>
                      <w:bCs/>
                      <w:color w:val="auto"/>
                      <w:kern w:val="2"/>
                      <w:sz w:val="21"/>
                      <w:szCs w:val="21"/>
                      <w:highlight w:val="none"/>
                      <w:lang w:val="en-US" w:eastAsia="zh-CN"/>
                    </w:rPr>
                    <w:t>3</w:t>
                  </w:r>
                </w:p>
              </w:tc>
              <w:tc>
                <w:tcPr>
                  <w:tcW w:w="1649" w:type="dxa"/>
                  <w:tcBorders>
                    <w:bottom w:val="single" w:color="auto" w:sz="4" w:space="0"/>
                  </w:tcBorders>
                  <w:vAlign w:val="center"/>
                </w:tcPr>
                <w:p w14:paraId="4A2D013D">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lang w:val="en-US" w:eastAsia="zh-CN"/>
                    </w:rPr>
                  </w:pPr>
                  <w:r>
                    <w:rPr>
                      <w:rFonts w:hint="eastAsia" w:eastAsia="仿宋"/>
                      <w:b w:val="0"/>
                      <w:bCs/>
                      <w:color w:val="auto"/>
                      <w:kern w:val="2"/>
                      <w:sz w:val="21"/>
                      <w:szCs w:val="21"/>
                      <w:highlight w:val="none"/>
                      <w:lang w:val="en-US" w:eastAsia="zh-CN"/>
                    </w:rPr>
                    <w:t>49</w:t>
                  </w:r>
                </w:p>
              </w:tc>
              <w:tc>
                <w:tcPr>
                  <w:tcW w:w="1714" w:type="dxa"/>
                  <w:tcBorders>
                    <w:bottom w:val="single" w:color="auto" w:sz="4" w:space="0"/>
                  </w:tcBorders>
                  <w:vAlign w:val="center"/>
                </w:tcPr>
                <w:p w14:paraId="6615D0FB">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eastAsia" w:eastAsia="仿宋"/>
                      <w:b w:val="0"/>
                      <w:bCs/>
                      <w:color w:val="auto"/>
                      <w:kern w:val="2"/>
                      <w:sz w:val="21"/>
                      <w:szCs w:val="21"/>
                      <w:highlight w:val="none"/>
                      <w:lang w:eastAsia="zh-CN"/>
                    </w:rPr>
                  </w:pPr>
                  <w:r>
                    <w:rPr>
                      <w:rFonts w:hint="default" w:eastAsia="仿宋"/>
                      <w:b w:val="0"/>
                      <w:bCs/>
                      <w:color w:val="auto"/>
                      <w:kern w:val="2"/>
                      <w:sz w:val="21"/>
                      <w:szCs w:val="21"/>
                      <w:highlight w:val="none"/>
                    </w:rPr>
                    <w:t>4</w:t>
                  </w:r>
                  <w:r>
                    <w:rPr>
                      <w:rFonts w:hint="eastAsia" w:eastAsia="仿宋"/>
                      <w:b w:val="0"/>
                      <w:bCs/>
                      <w:color w:val="auto"/>
                      <w:kern w:val="2"/>
                      <w:sz w:val="21"/>
                      <w:szCs w:val="21"/>
                      <w:highlight w:val="none"/>
                      <w:lang w:val="en-US" w:eastAsia="zh-CN"/>
                    </w:rPr>
                    <w:t>6</w:t>
                  </w:r>
                </w:p>
              </w:tc>
            </w:tr>
            <w:tr w14:paraId="4A92D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04" w:type="dxa"/>
                  <w:tcBorders>
                    <w:bottom w:val="single" w:color="auto" w:sz="4" w:space="0"/>
                  </w:tcBorders>
                  <w:vAlign w:val="center"/>
                </w:tcPr>
                <w:p w14:paraId="4E4BC566">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rPr>
                  </w:pPr>
                  <w:r>
                    <w:rPr>
                      <w:rFonts w:hint="default" w:eastAsia="仿宋"/>
                      <w:b w:val="0"/>
                      <w:bCs/>
                      <w:color w:val="auto"/>
                      <w:kern w:val="2"/>
                      <w:sz w:val="21"/>
                      <w:szCs w:val="21"/>
                      <w:highlight w:val="none"/>
                    </w:rPr>
                    <w:t>N2南厂界外1米</w:t>
                  </w:r>
                </w:p>
              </w:tc>
              <w:tc>
                <w:tcPr>
                  <w:tcW w:w="1757" w:type="dxa"/>
                  <w:tcBorders>
                    <w:bottom w:val="single" w:color="auto" w:sz="4" w:space="0"/>
                  </w:tcBorders>
                  <w:vAlign w:val="center"/>
                </w:tcPr>
                <w:p w14:paraId="40A42414">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lang w:val="en-US" w:eastAsia="zh-CN"/>
                    </w:rPr>
                  </w:pPr>
                  <w:r>
                    <w:rPr>
                      <w:rFonts w:hint="default" w:eastAsia="仿宋"/>
                      <w:b w:val="0"/>
                      <w:bCs/>
                      <w:color w:val="auto"/>
                      <w:kern w:val="2"/>
                      <w:sz w:val="21"/>
                      <w:szCs w:val="21"/>
                      <w:highlight w:val="none"/>
                      <w:lang w:val="en-US" w:eastAsia="zh-CN"/>
                    </w:rPr>
                    <w:t>5</w:t>
                  </w:r>
                  <w:r>
                    <w:rPr>
                      <w:rFonts w:hint="eastAsia" w:eastAsia="仿宋"/>
                      <w:b w:val="0"/>
                      <w:bCs/>
                      <w:color w:val="auto"/>
                      <w:kern w:val="2"/>
                      <w:sz w:val="21"/>
                      <w:szCs w:val="21"/>
                      <w:highlight w:val="none"/>
                      <w:lang w:val="en-US" w:eastAsia="zh-CN"/>
                    </w:rPr>
                    <w:t>7</w:t>
                  </w:r>
                </w:p>
              </w:tc>
              <w:tc>
                <w:tcPr>
                  <w:tcW w:w="1932" w:type="dxa"/>
                  <w:tcBorders>
                    <w:bottom w:val="single" w:color="auto" w:sz="4" w:space="0"/>
                  </w:tcBorders>
                  <w:vAlign w:val="center"/>
                </w:tcPr>
                <w:p w14:paraId="5535D9D0">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lang w:val="en-US" w:eastAsia="zh-CN"/>
                    </w:rPr>
                  </w:pPr>
                  <w:r>
                    <w:rPr>
                      <w:rFonts w:hint="default" w:eastAsia="仿宋"/>
                      <w:b w:val="0"/>
                      <w:bCs/>
                      <w:color w:val="auto"/>
                      <w:kern w:val="2"/>
                      <w:sz w:val="21"/>
                      <w:szCs w:val="21"/>
                      <w:highlight w:val="none"/>
                      <w:lang w:val="en-US" w:eastAsia="zh-CN"/>
                    </w:rPr>
                    <w:t>4</w:t>
                  </w:r>
                  <w:r>
                    <w:rPr>
                      <w:rFonts w:hint="eastAsia" w:eastAsia="仿宋"/>
                      <w:b w:val="0"/>
                      <w:bCs/>
                      <w:color w:val="auto"/>
                      <w:kern w:val="2"/>
                      <w:sz w:val="21"/>
                      <w:szCs w:val="21"/>
                      <w:highlight w:val="none"/>
                      <w:lang w:val="en-US" w:eastAsia="zh-CN"/>
                    </w:rPr>
                    <w:t>9</w:t>
                  </w:r>
                </w:p>
              </w:tc>
              <w:tc>
                <w:tcPr>
                  <w:tcW w:w="1649" w:type="dxa"/>
                  <w:tcBorders>
                    <w:bottom w:val="single" w:color="auto" w:sz="4" w:space="0"/>
                  </w:tcBorders>
                  <w:vAlign w:val="center"/>
                </w:tcPr>
                <w:p w14:paraId="48E33384">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lang w:val="en-US" w:eastAsia="zh-CN"/>
                    </w:rPr>
                  </w:pPr>
                  <w:r>
                    <w:rPr>
                      <w:rFonts w:hint="default" w:eastAsia="仿宋"/>
                      <w:b w:val="0"/>
                      <w:bCs/>
                      <w:color w:val="auto"/>
                      <w:kern w:val="2"/>
                      <w:sz w:val="21"/>
                      <w:szCs w:val="21"/>
                      <w:highlight w:val="none"/>
                      <w:lang w:val="en-US" w:eastAsia="zh-CN"/>
                    </w:rPr>
                    <w:t>5</w:t>
                  </w:r>
                  <w:r>
                    <w:rPr>
                      <w:rFonts w:hint="eastAsia" w:eastAsia="仿宋"/>
                      <w:b w:val="0"/>
                      <w:bCs/>
                      <w:color w:val="auto"/>
                      <w:kern w:val="2"/>
                      <w:sz w:val="21"/>
                      <w:szCs w:val="21"/>
                      <w:highlight w:val="none"/>
                      <w:lang w:val="en-US" w:eastAsia="zh-CN"/>
                    </w:rPr>
                    <w:t>7</w:t>
                  </w:r>
                </w:p>
              </w:tc>
              <w:tc>
                <w:tcPr>
                  <w:tcW w:w="1714" w:type="dxa"/>
                  <w:tcBorders>
                    <w:bottom w:val="single" w:color="auto" w:sz="4" w:space="0"/>
                  </w:tcBorders>
                  <w:vAlign w:val="center"/>
                </w:tcPr>
                <w:p w14:paraId="53EA6301">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lang w:val="en-US" w:eastAsia="zh-CN"/>
                    </w:rPr>
                  </w:pPr>
                  <w:r>
                    <w:rPr>
                      <w:rFonts w:hint="eastAsia" w:eastAsia="仿宋"/>
                      <w:b w:val="0"/>
                      <w:bCs/>
                      <w:color w:val="auto"/>
                      <w:kern w:val="2"/>
                      <w:sz w:val="21"/>
                      <w:szCs w:val="21"/>
                      <w:highlight w:val="none"/>
                      <w:lang w:val="en-US" w:eastAsia="zh-CN"/>
                    </w:rPr>
                    <w:t>52</w:t>
                  </w:r>
                </w:p>
              </w:tc>
            </w:tr>
            <w:tr w14:paraId="43B9F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04" w:type="dxa"/>
                  <w:tcBorders>
                    <w:bottom w:val="single" w:color="auto" w:sz="4" w:space="0"/>
                  </w:tcBorders>
                  <w:vAlign w:val="center"/>
                </w:tcPr>
                <w:p w14:paraId="4F65138B">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rPr>
                  </w:pPr>
                  <w:r>
                    <w:rPr>
                      <w:rFonts w:hint="default" w:eastAsia="仿宋"/>
                      <w:b w:val="0"/>
                      <w:bCs/>
                      <w:color w:val="auto"/>
                      <w:kern w:val="2"/>
                      <w:sz w:val="21"/>
                      <w:szCs w:val="21"/>
                      <w:highlight w:val="none"/>
                    </w:rPr>
                    <w:t>N3西厂界外1米</w:t>
                  </w:r>
                </w:p>
              </w:tc>
              <w:tc>
                <w:tcPr>
                  <w:tcW w:w="1757" w:type="dxa"/>
                  <w:tcBorders>
                    <w:bottom w:val="single" w:color="auto" w:sz="4" w:space="0"/>
                  </w:tcBorders>
                  <w:vAlign w:val="center"/>
                </w:tcPr>
                <w:p w14:paraId="545F9C31">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lang w:val="en-US" w:eastAsia="zh-CN"/>
                    </w:rPr>
                  </w:pPr>
                  <w:r>
                    <w:rPr>
                      <w:rFonts w:hint="default" w:eastAsia="仿宋"/>
                      <w:b w:val="0"/>
                      <w:bCs/>
                      <w:color w:val="auto"/>
                      <w:kern w:val="2"/>
                      <w:sz w:val="21"/>
                      <w:szCs w:val="21"/>
                      <w:highlight w:val="none"/>
                      <w:lang w:val="en-US" w:eastAsia="zh-CN"/>
                    </w:rPr>
                    <w:t>5</w:t>
                  </w:r>
                  <w:r>
                    <w:rPr>
                      <w:rFonts w:hint="eastAsia" w:eastAsia="仿宋"/>
                      <w:b w:val="0"/>
                      <w:bCs/>
                      <w:color w:val="auto"/>
                      <w:kern w:val="2"/>
                      <w:sz w:val="21"/>
                      <w:szCs w:val="21"/>
                      <w:highlight w:val="none"/>
                      <w:lang w:val="en-US" w:eastAsia="zh-CN"/>
                    </w:rPr>
                    <w:t>1</w:t>
                  </w:r>
                </w:p>
              </w:tc>
              <w:tc>
                <w:tcPr>
                  <w:tcW w:w="1932" w:type="dxa"/>
                  <w:tcBorders>
                    <w:bottom w:val="single" w:color="auto" w:sz="4" w:space="0"/>
                  </w:tcBorders>
                  <w:vAlign w:val="center"/>
                </w:tcPr>
                <w:p w14:paraId="67F903F3">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lang w:val="en-US" w:eastAsia="zh-CN"/>
                    </w:rPr>
                  </w:pPr>
                  <w:r>
                    <w:rPr>
                      <w:rFonts w:hint="eastAsia" w:eastAsia="仿宋"/>
                      <w:b w:val="0"/>
                      <w:bCs/>
                      <w:color w:val="auto"/>
                      <w:kern w:val="2"/>
                      <w:sz w:val="21"/>
                      <w:szCs w:val="21"/>
                      <w:highlight w:val="none"/>
                      <w:lang w:val="en-US" w:eastAsia="zh-CN"/>
                    </w:rPr>
                    <w:t>51</w:t>
                  </w:r>
                </w:p>
              </w:tc>
              <w:tc>
                <w:tcPr>
                  <w:tcW w:w="1649" w:type="dxa"/>
                  <w:tcBorders>
                    <w:bottom w:val="single" w:color="auto" w:sz="4" w:space="0"/>
                  </w:tcBorders>
                  <w:vAlign w:val="center"/>
                </w:tcPr>
                <w:p w14:paraId="1AFFD668">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lang w:val="en-US" w:eastAsia="zh-CN"/>
                    </w:rPr>
                  </w:pPr>
                  <w:r>
                    <w:rPr>
                      <w:rFonts w:hint="eastAsia" w:eastAsia="仿宋"/>
                      <w:b w:val="0"/>
                      <w:bCs/>
                      <w:color w:val="auto"/>
                      <w:kern w:val="2"/>
                      <w:sz w:val="21"/>
                      <w:szCs w:val="21"/>
                      <w:highlight w:val="none"/>
                      <w:lang w:val="en-US" w:eastAsia="zh-CN"/>
                    </w:rPr>
                    <w:t>49</w:t>
                  </w:r>
                </w:p>
              </w:tc>
              <w:tc>
                <w:tcPr>
                  <w:tcW w:w="1714" w:type="dxa"/>
                  <w:tcBorders>
                    <w:bottom w:val="single" w:color="auto" w:sz="4" w:space="0"/>
                  </w:tcBorders>
                  <w:vAlign w:val="center"/>
                </w:tcPr>
                <w:p w14:paraId="754E11EE">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lang w:val="en-US" w:eastAsia="zh-CN"/>
                    </w:rPr>
                  </w:pPr>
                  <w:r>
                    <w:rPr>
                      <w:rFonts w:hint="eastAsia" w:eastAsia="仿宋"/>
                      <w:b w:val="0"/>
                      <w:bCs/>
                      <w:color w:val="auto"/>
                      <w:kern w:val="2"/>
                      <w:sz w:val="21"/>
                      <w:szCs w:val="21"/>
                      <w:highlight w:val="none"/>
                      <w:lang w:val="en-US" w:eastAsia="zh-CN"/>
                    </w:rPr>
                    <w:t>51</w:t>
                  </w:r>
                </w:p>
              </w:tc>
            </w:tr>
            <w:tr w14:paraId="7CE9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04" w:type="dxa"/>
                  <w:tcBorders>
                    <w:bottom w:val="single" w:color="auto" w:sz="4" w:space="0"/>
                  </w:tcBorders>
                  <w:vAlign w:val="center"/>
                </w:tcPr>
                <w:p w14:paraId="7636F9D2">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rPr>
                  </w:pPr>
                  <w:r>
                    <w:rPr>
                      <w:rFonts w:hint="default" w:eastAsia="仿宋"/>
                      <w:b w:val="0"/>
                      <w:bCs/>
                      <w:color w:val="auto"/>
                      <w:kern w:val="2"/>
                      <w:sz w:val="21"/>
                      <w:szCs w:val="21"/>
                      <w:highlight w:val="none"/>
                    </w:rPr>
                    <w:t>N4北厂界外1米</w:t>
                  </w:r>
                </w:p>
              </w:tc>
              <w:tc>
                <w:tcPr>
                  <w:tcW w:w="1757" w:type="dxa"/>
                  <w:tcBorders>
                    <w:bottom w:val="single" w:color="auto" w:sz="4" w:space="0"/>
                  </w:tcBorders>
                  <w:vAlign w:val="center"/>
                </w:tcPr>
                <w:p w14:paraId="5B0C907E">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lang w:val="en-US" w:eastAsia="zh-CN"/>
                    </w:rPr>
                  </w:pPr>
                  <w:r>
                    <w:rPr>
                      <w:rFonts w:hint="default" w:eastAsia="仿宋"/>
                      <w:b w:val="0"/>
                      <w:bCs/>
                      <w:color w:val="auto"/>
                      <w:kern w:val="2"/>
                      <w:sz w:val="21"/>
                      <w:szCs w:val="21"/>
                      <w:highlight w:val="none"/>
                      <w:lang w:val="en-US" w:eastAsia="zh-CN"/>
                    </w:rPr>
                    <w:t>5</w:t>
                  </w:r>
                  <w:r>
                    <w:rPr>
                      <w:rFonts w:hint="eastAsia" w:eastAsia="仿宋"/>
                      <w:b w:val="0"/>
                      <w:bCs/>
                      <w:color w:val="auto"/>
                      <w:kern w:val="2"/>
                      <w:sz w:val="21"/>
                      <w:szCs w:val="21"/>
                      <w:highlight w:val="none"/>
                      <w:lang w:val="en-US" w:eastAsia="zh-CN"/>
                    </w:rPr>
                    <w:t>2</w:t>
                  </w:r>
                </w:p>
              </w:tc>
              <w:tc>
                <w:tcPr>
                  <w:tcW w:w="1932" w:type="dxa"/>
                  <w:tcBorders>
                    <w:bottom w:val="single" w:color="auto" w:sz="4" w:space="0"/>
                  </w:tcBorders>
                  <w:vAlign w:val="center"/>
                </w:tcPr>
                <w:p w14:paraId="0BCCC99B">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lang w:val="en-US" w:eastAsia="zh-CN"/>
                    </w:rPr>
                  </w:pPr>
                  <w:r>
                    <w:rPr>
                      <w:rFonts w:hint="eastAsia" w:eastAsia="仿宋"/>
                      <w:b w:val="0"/>
                      <w:bCs/>
                      <w:color w:val="auto"/>
                      <w:kern w:val="2"/>
                      <w:sz w:val="21"/>
                      <w:szCs w:val="21"/>
                      <w:highlight w:val="none"/>
                      <w:lang w:val="en-US" w:eastAsia="zh-CN"/>
                    </w:rPr>
                    <w:t>48</w:t>
                  </w:r>
                </w:p>
              </w:tc>
              <w:tc>
                <w:tcPr>
                  <w:tcW w:w="1649" w:type="dxa"/>
                  <w:tcBorders>
                    <w:bottom w:val="single" w:color="auto" w:sz="4" w:space="0"/>
                  </w:tcBorders>
                  <w:vAlign w:val="center"/>
                </w:tcPr>
                <w:p w14:paraId="2CD0B35F">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lang w:val="en-US" w:eastAsia="zh-CN"/>
                    </w:rPr>
                  </w:pPr>
                  <w:r>
                    <w:rPr>
                      <w:rFonts w:hint="eastAsia" w:eastAsia="仿宋"/>
                      <w:b w:val="0"/>
                      <w:bCs/>
                      <w:color w:val="auto"/>
                      <w:kern w:val="2"/>
                      <w:sz w:val="21"/>
                      <w:szCs w:val="21"/>
                      <w:highlight w:val="none"/>
                      <w:lang w:val="en-US" w:eastAsia="zh-CN"/>
                    </w:rPr>
                    <w:t>54</w:t>
                  </w:r>
                </w:p>
              </w:tc>
              <w:tc>
                <w:tcPr>
                  <w:tcW w:w="1714" w:type="dxa"/>
                  <w:tcBorders>
                    <w:bottom w:val="single" w:color="auto" w:sz="4" w:space="0"/>
                  </w:tcBorders>
                  <w:vAlign w:val="center"/>
                </w:tcPr>
                <w:p w14:paraId="38FCA730">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lang w:eastAsia="zh-CN"/>
                    </w:rPr>
                  </w:pPr>
                  <w:r>
                    <w:rPr>
                      <w:rFonts w:hint="default" w:eastAsia="仿宋"/>
                      <w:b w:val="0"/>
                      <w:bCs/>
                      <w:color w:val="auto"/>
                      <w:kern w:val="2"/>
                      <w:sz w:val="21"/>
                      <w:szCs w:val="21"/>
                      <w:highlight w:val="none"/>
                    </w:rPr>
                    <w:t>4</w:t>
                  </w:r>
                  <w:r>
                    <w:rPr>
                      <w:rFonts w:hint="eastAsia" w:eastAsia="仿宋"/>
                      <w:b w:val="0"/>
                      <w:bCs/>
                      <w:color w:val="auto"/>
                      <w:kern w:val="2"/>
                      <w:sz w:val="21"/>
                      <w:szCs w:val="21"/>
                      <w:highlight w:val="none"/>
                      <w:lang w:val="en-US" w:eastAsia="zh-CN"/>
                    </w:rPr>
                    <w:t>7</w:t>
                  </w:r>
                </w:p>
              </w:tc>
            </w:tr>
            <w:tr w14:paraId="2430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04" w:type="dxa"/>
                  <w:vAlign w:val="center"/>
                </w:tcPr>
                <w:p w14:paraId="08124BF5">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lang w:val="en-US" w:eastAsia="zh-CN"/>
                    </w:rPr>
                  </w:pPr>
                  <w:r>
                    <w:rPr>
                      <w:rFonts w:hint="eastAsia" w:eastAsia="仿宋"/>
                      <w:b w:val="0"/>
                      <w:bCs/>
                      <w:color w:val="auto"/>
                      <w:kern w:val="2"/>
                      <w:sz w:val="21"/>
                      <w:szCs w:val="21"/>
                      <w:highlight w:val="none"/>
                      <w:lang w:val="en-US" w:eastAsia="zh-CN"/>
                    </w:rPr>
                    <w:t>标准限值</w:t>
                  </w:r>
                </w:p>
              </w:tc>
              <w:tc>
                <w:tcPr>
                  <w:tcW w:w="7052" w:type="dxa"/>
                  <w:gridSpan w:val="4"/>
                  <w:vAlign w:val="center"/>
                </w:tcPr>
                <w:p w14:paraId="5A89CE9E">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rPr>
                  </w:pPr>
                  <w:r>
                    <w:rPr>
                      <w:rFonts w:hint="default" w:eastAsia="仿宋"/>
                      <w:b w:val="0"/>
                      <w:bCs/>
                      <w:color w:val="auto"/>
                      <w:kern w:val="2"/>
                      <w:sz w:val="21"/>
                      <w:szCs w:val="21"/>
                      <w:highlight w:val="none"/>
                    </w:rPr>
                    <w:t>昼间</w:t>
                  </w:r>
                  <w:r>
                    <w:rPr>
                      <w:rFonts w:hint="eastAsia" w:eastAsia="仿宋"/>
                      <w:b w:val="0"/>
                      <w:bCs/>
                      <w:color w:val="auto"/>
                      <w:kern w:val="2"/>
                      <w:sz w:val="21"/>
                      <w:szCs w:val="21"/>
                      <w:highlight w:val="none"/>
                      <w:lang w:eastAsia="zh-CN"/>
                    </w:rPr>
                    <w:t>：</w:t>
                  </w:r>
                  <w:r>
                    <w:rPr>
                      <w:rFonts w:hint="default" w:ascii="Arial" w:hAnsi="Arial" w:eastAsia="仿宋" w:cs="Arial"/>
                      <w:b w:val="0"/>
                      <w:bCs/>
                      <w:color w:val="auto"/>
                      <w:kern w:val="2"/>
                      <w:sz w:val="21"/>
                      <w:szCs w:val="21"/>
                      <w:highlight w:val="none"/>
                    </w:rPr>
                    <w:t>≤</w:t>
                  </w:r>
                  <w:r>
                    <w:rPr>
                      <w:rFonts w:hint="default" w:eastAsia="仿宋"/>
                      <w:b w:val="0"/>
                      <w:bCs/>
                      <w:color w:val="auto"/>
                      <w:kern w:val="2"/>
                      <w:sz w:val="21"/>
                      <w:szCs w:val="21"/>
                      <w:highlight w:val="none"/>
                      <w:lang w:val="en-US" w:eastAsia="zh-CN"/>
                    </w:rPr>
                    <w:t>65</w:t>
                  </w:r>
                  <w:r>
                    <w:rPr>
                      <w:rFonts w:hint="default" w:eastAsia="仿宋"/>
                      <w:b w:val="0"/>
                      <w:bCs/>
                      <w:color w:val="auto"/>
                      <w:kern w:val="2"/>
                      <w:sz w:val="21"/>
                      <w:szCs w:val="21"/>
                      <w:highlight w:val="none"/>
                    </w:rPr>
                    <w:t>dB(A)   夜间：</w:t>
                  </w:r>
                  <w:r>
                    <w:rPr>
                      <w:rFonts w:hint="default" w:ascii="Arial" w:hAnsi="Arial" w:eastAsia="仿宋" w:cs="Arial"/>
                      <w:b w:val="0"/>
                      <w:bCs/>
                      <w:color w:val="auto"/>
                      <w:kern w:val="2"/>
                      <w:sz w:val="21"/>
                      <w:szCs w:val="21"/>
                      <w:highlight w:val="none"/>
                    </w:rPr>
                    <w:t>≤</w:t>
                  </w:r>
                  <w:r>
                    <w:rPr>
                      <w:rFonts w:hint="default" w:eastAsia="仿宋"/>
                      <w:b w:val="0"/>
                      <w:bCs/>
                      <w:color w:val="auto"/>
                      <w:kern w:val="2"/>
                      <w:sz w:val="21"/>
                      <w:szCs w:val="21"/>
                      <w:highlight w:val="none"/>
                      <w:lang w:val="en-US" w:eastAsia="zh-CN"/>
                    </w:rPr>
                    <w:t>55</w:t>
                  </w:r>
                  <w:r>
                    <w:rPr>
                      <w:rFonts w:hint="default" w:eastAsia="仿宋"/>
                      <w:b w:val="0"/>
                      <w:bCs/>
                      <w:color w:val="auto"/>
                      <w:kern w:val="2"/>
                      <w:sz w:val="21"/>
                      <w:szCs w:val="21"/>
                      <w:highlight w:val="none"/>
                    </w:rPr>
                    <w:t xml:space="preserve"> dB(A)</w:t>
                  </w:r>
                </w:p>
              </w:tc>
            </w:tr>
            <w:tr w14:paraId="0E391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04" w:type="dxa"/>
                  <w:vAlign w:val="center"/>
                </w:tcPr>
                <w:p w14:paraId="476CF1CD">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rPr>
                  </w:pPr>
                  <w:r>
                    <w:rPr>
                      <w:rFonts w:hint="default" w:eastAsia="仿宋"/>
                      <w:b w:val="0"/>
                      <w:bCs/>
                      <w:color w:val="auto"/>
                      <w:kern w:val="2"/>
                      <w:sz w:val="21"/>
                      <w:szCs w:val="21"/>
                      <w:highlight w:val="none"/>
                    </w:rPr>
                    <w:t>达标情况</w:t>
                  </w:r>
                </w:p>
              </w:tc>
              <w:tc>
                <w:tcPr>
                  <w:tcW w:w="1757" w:type="dxa"/>
                  <w:vAlign w:val="center"/>
                </w:tcPr>
                <w:p w14:paraId="575C64A0">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rPr>
                  </w:pPr>
                  <w:r>
                    <w:rPr>
                      <w:rFonts w:hint="default" w:eastAsia="仿宋"/>
                      <w:b w:val="0"/>
                      <w:bCs/>
                      <w:color w:val="auto"/>
                      <w:kern w:val="2"/>
                      <w:sz w:val="21"/>
                      <w:szCs w:val="21"/>
                      <w:highlight w:val="none"/>
                    </w:rPr>
                    <w:t>达标</w:t>
                  </w:r>
                </w:p>
              </w:tc>
              <w:tc>
                <w:tcPr>
                  <w:tcW w:w="1932" w:type="dxa"/>
                  <w:vAlign w:val="center"/>
                </w:tcPr>
                <w:p w14:paraId="2B9FD8A3">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rPr>
                  </w:pPr>
                  <w:r>
                    <w:rPr>
                      <w:rFonts w:hint="default" w:eastAsia="仿宋"/>
                      <w:b w:val="0"/>
                      <w:bCs/>
                      <w:color w:val="auto"/>
                      <w:kern w:val="2"/>
                      <w:sz w:val="21"/>
                      <w:szCs w:val="21"/>
                      <w:highlight w:val="none"/>
                    </w:rPr>
                    <w:t>达标</w:t>
                  </w:r>
                </w:p>
              </w:tc>
              <w:tc>
                <w:tcPr>
                  <w:tcW w:w="1649" w:type="dxa"/>
                  <w:vAlign w:val="center"/>
                </w:tcPr>
                <w:p w14:paraId="2D846AFD">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rPr>
                  </w:pPr>
                  <w:r>
                    <w:rPr>
                      <w:rFonts w:hint="default" w:eastAsia="仿宋"/>
                      <w:b w:val="0"/>
                      <w:bCs/>
                      <w:color w:val="auto"/>
                      <w:kern w:val="2"/>
                      <w:sz w:val="21"/>
                      <w:szCs w:val="21"/>
                      <w:highlight w:val="none"/>
                    </w:rPr>
                    <w:t>达标</w:t>
                  </w:r>
                </w:p>
              </w:tc>
              <w:tc>
                <w:tcPr>
                  <w:tcW w:w="1714" w:type="dxa"/>
                  <w:vAlign w:val="center"/>
                </w:tcPr>
                <w:p w14:paraId="072922C6">
                  <w:pPr>
                    <w:pStyle w:val="14"/>
                    <w:keepNext w:val="0"/>
                    <w:keepLines w:val="0"/>
                    <w:pageBreakBefore w:val="0"/>
                    <w:widowControl w:val="0"/>
                    <w:kinsoku w:val="0"/>
                    <w:wordWrap/>
                    <w:overflowPunct w:val="0"/>
                    <w:topLinePunct w:val="0"/>
                    <w:autoSpaceDE w:val="0"/>
                    <w:autoSpaceDN w:val="0"/>
                    <w:bidi w:val="0"/>
                    <w:adjustRightInd w:val="0"/>
                    <w:snapToGrid/>
                    <w:spacing w:line="240" w:lineRule="auto"/>
                    <w:ind w:left="0" w:firstLine="0" w:firstLineChars="0"/>
                    <w:jc w:val="center"/>
                    <w:textAlignment w:val="auto"/>
                    <w:rPr>
                      <w:rFonts w:hint="default" w:eastAsia="仿宋"/>
                      <w:b w:val="0"/>
                      <w:bCs/>
                      <w:color w:val="auto"/>
                      <w:kern w:val="2"/>
                      <w:sz w:val="21"/>
                      <w:szCs w:val="21"/>
                      <w:highlight w:val="none"/>
                    </w:rPr>
                  </w:pPr>
                  <w:r>
                    <w:rPr>
                      <w:rFonts w:hint="default" w:eastAsia="仿宋"/>
                      <w:b w:val="0"/>
                      <w:bCs/>
                      <w:color w:val="auto"/>
                      <w:kern w:val="2"/>
                      <w:sz w:val="21"/>
                      <w:szCs w:val="21"/>
                      <w:highlight w:val="none"/>
                    </w:rPr>
                    <w:t>达标</w:t>
                  </w:r>
                </w:p>
              </w:tc>
            </w:tr>
          </w:tbl>
          <w:p w14:paraId="69911D79">
            <w:pPr>
              <w:pStyle w:val="14"/>
              <w:keepNext w:val="0"/>
              <w:keepLines w:val="0"/>
              <w:pageBreakBefore w:val="0"/>
              <w:widowControl w:val="0"/>
              <w:kinsoku w:val="0"/>
              <w:wordWrap/>
              <w:overflowPunct w:val="0"/>
              <w:topLinePunct w:val="0"/>
              <w:autoSpaceDE w:val="0"/>
              <w:autoSpaceDN w:val="0"/>
              <w:bidi w:val="0"/>
              <w:adjustRightInd w:val="0"/>
              <w:snapToGrid/>
              <w:spacing w:line="500" w:lineRule="exact"/>
              <w:ind w:firstLine="480" w:firstLineChars="200"/>
              <w:jc w:val="both"/>
              <w:textAlignment w:val="auto"/>
              <w:rPr>
                <w:rFonts w:hint="eastAsia" w:eastAsia="仿宋"/>
                <w:color w:val="auto"/>
                <w:lang w:val="en-US" w:eastAsia="zh-CN"/>
              </w:rPr>
            </w:pPr>
            <w:r>
              <w:rPr>
                <w:rFonts w:hint="eastAsia" w:eastAsia="仿宋"/>
                <w:color w:val="auto"/>
                <w:lang w:val="en-US" w:eastAsia="zh-CN"/>
              </w:rPr>
              <w:t>由表5-3和5-4可知，验收监测期间，管线及配套泵组、紧急切断阀等设备的密封点无组织废气（NMHC）满足《挥发性有机物无组织排放控制标准》（GB37822-2019）中表A.1及《大气污染物综合排放标准》（DB32/4041-2021）表3单位边界大气污染物排放监控浓度限值要求；各厂界噪声满足《工业企业厂界环境噪声排放标准》（GB12348-2008）3类标准要求。</w:t>
            </w:r>
          </w:p>
          <w:p w14:paraId="75E82F3A">
            <w:pPr>
              <w:pStyle w:val="14"/>
              <w:keepNext w:val="0"/>
              <w:keepLines w:val="0"/>
              <w:pageBreakBefore w:val="0"/>
              <w:widowControl w:val="0"/>
              <w:kinsoku w:val="0"/>
              <w:wordWrap/>
              <w:overflowPunct w:val="0"/>
              <w:topLinePunct w:val="0"/>
              <w:autoSpaceDE w:val="0"/>
              <w:autoSpaceDN w:val="0"/>
              <w:bidi w:val="0"/>
              <w:adjustRightInd w:val="0"/>
              <w:snapToGrid/>
              <w:spacing w:line="500" w:lineRule="exact"/>
              <w:jc w:val="both"/>
              <w:textAlignment w:val="auto"/>
              <w:rPr>
                <w:rFonts w:eastAsia="仿宋"/>
                <w:b/>
                <w:bCs/>
                <w:color w:val="auto"/>
              </w:rPr>
            </w:pPr>
            <w:r>
              <w:rPr>
                <w:rFonts w:hint="eastAsia" w:eastAsia="仿宋"/>
                <w:b/>
                <w:bCs/>
                <w:color w:val="auto"/>
              </w:rPr>
              <w:t>2</w:t>
            </w:r>
            <w:r>
              <w:rPr>
                <w:rFonts w:eastAsia="仿宋"/>
                <w:b/>
                <w:bCs/>
                <w:color w:val="auto"/>
              </w:rPr>
              <w:t>、结论</w:t>
            </w:r>
          </w:p>
          <w:p w14:paraId="2270B080">
            <w:pPr>
              <w:pStyle w:val="14"/>
              <w:keepNext w:val="0"/>
              <w:keepLines w:val="0"/>
              <w:pageBreakBefore w:val="0"/>
              <w:widowControl w:val="0"/>
              <w:kinsoku w:val="0"/>
              <w:wordWrap/>
              <w:overflowPunct w:val="0"/>
              <w:topLinePunct w:val="0"/>
              <w:autoSpaceDE w:val="0"/>
              <w:autoSpaceDN w:val="0"/>
              <w:bidi w:val="0"/>
              <w:adjustRightInd w:val="0"/>
              <w:snapToGrid/>
              <w:spacing w:line="500" w:lineRule="exact"/>
              <w:ind w:firstLine="480" w:firstLineChars="200"/>
              <w:jc w:val="both"/>
              <w:textAlignment w:val="auto"/>
              <w:rPr>
                <w:rFonts w:eastAsia="仿宋"/>
                <w:color w:val="auto"/>
              </w:rPr>
            </w:pPr>
            <w:r>
              <w:rPr>
                <w:rFonts w:hint="eastAsia" w:eastAsia="仿宋"/>
                <w:color w:val="auto"/>
              </w:rPr>
              <w:t>连云港荣泰化工仓储有限公司新建陆地化学品输送管线同时在荣泰仓储厂内新增复热器、增压泵及冷冻水罐等设备</w:t>
            </w:r>
            <w:r>
              <w:rPr>
                <w:rFonts w:hint="eastAsia" w:eastAsia="仿宋"/>
                <w:color w:val="auto"/>
                <w:lang w:eastAsia="zh-CN"/>
              </w:rPr>
              <w:t>，</w:t>
            </w:r>
            <w:r>
              <w:rPr>
                <w:rFonts w:hint="eastAsia" w:ascii="仿宋" w:hAnsi="仿宋" w:eastAsia="仿宋" w:cs="仿宋"/>
                <w:color w:val="auto"/>
              </w:rPr>
              <w:t>管线敷设依托</w:t>
            </w:r>
            <w:r>
              <w:rPr>
                <w:rFonts w:hint="eastAsia" w:ascii="仿宋" w:hAnsi="仿宋" w:eastAsia="仿宋" w:cs="仿宋"/>
                <w:color w:val="auto"/>
                <w:lang w:val="en-US" w:eastAsia="zh-CN"/>
              </w:rPr>
              <w:t>石化基地内已建公共管廊</w:t>
            </w:r>
            <w:r>
              <w:rPr>
                <w:rFonts w:hint="eastAsia" w:ascii="仿宋" w:hAnsi="仿宋" w:eastAsia="仿宋" w:cs="仿宋"/>
                <w:color w:val="auto"/>
              </w:rPr>
              <w:t>，</w:t>
            </w:r>
            <w:r>
              <w:rPr>
                <w:rFonts w:hint="eastAsia" w:ascii="仿宋" w:hAnsi="仿宋" w:eastAsia="仿宋" w:cs="仿宋"/>
                <w:color w:val="auto"/>
                <w:lang w:val="en-US" w:eastAsia="zh-CN"/>
              </w:rPr>
              <w:t>项目</w:t>
            </w:r>
            <w:r>
              <w:rPr>
                <w:rFonts w:hint="eastAsia" w:ascii="仿宋" w:hAnsi="仿宋" w:eastAsia="仿宋" w:cs="仿宋"/>
                <w:color w:val="auto"/>
              </w:rPr>
              <w:t>仅涉及管线施工，不涉及管廊施工，亦不新增用地。</w:t>
            </w:r>
            <w:r>
              <w:rPr>
                <w:rFonts w:eastAsia="仿宋"/>
                <w:color w:val="auto"/>
              </w:rPr>
              <w:t>项目不在生态空间管控区域内，符合园区规划，选址合理；项目的建设符合国家及地方产业政策；项目运营期无废气、废水、噪声及固废产生，不会降低区域功能类别</w:t>
            </w:r>
            <w:r>
              <w:rPr>
                <w:rFonts w:hint="eastAsia" w:eastAsia="仿宋"/>
                <w:color w:val="auto"/>
              </w:rPr>
              <w:t>，不会对生态造成影响</w:t>
            </w:r>
            <w:r>
              <w:rPr>
                <w:rFonts w:eastAsia="仿宋"/>
                <w:color w:val="auto"/>
              </w:rPr>
              <w:t>。项目采取风险防范及应急措施后，可有效防止突发性事件对环境造成的危害；环评公示期间未收到公众意见反馈。</w:t>
            </w:r>
            <w:r>
              <w:rPr>
                <w:rFonts w:hint="eastAsia" w:eastAsia="仿宋"/>
                <w:color w:val="auto"/>
              </w:rPr>
              <w:t>施工期无组织废气、施工扬尘及噪声监测结果均低于相关限值。</w:t>
            </w:r>
            <w:r>
              <w:rPr>
                <w:rFonts w:eastAsia="仿宋"/>
                <w:color w:val="auto"/>
              </w:rPr>
              <w:t>因此，从环保的角度看，本项目的建设是可行的。</w:t>
            </w:r>
          </w:p>
          <w:p w14:paraId="4C394FEF">
            <w:pPr>
              <w:pStyle w:val="14"/>
              <w:keepNext w:val="0"/>
              <w:keepLines w:val="0"/>
              <w:pageBreakBefore w:val="0"/>
              <w:widowControl w:val="0"/>
              <w:kinsoku w:val="0"/>
              <w:wordWrap/>
              <w:overflowPunct w:val="0"/>
              <w:topLinePunct w:val="0"/>
              <w:autoSpaceDE w:val="0"/>
              <w:autoSpaceDN w:val="0"/>
              <w:bidi w:val="0"/>
              <w:adjustRightInd w:val="0"/>
              <w:snapToGrid/>
              <w:spacing w:line="500" w:lineRule="exact"/>
              <w:jc w:val="both"/>
              <w:textAlignment w:val="auto"/>
              <w:rPr>
                <w:rFonts w:eastAsia="仿宋"/>
                <w:b/>
                <w:color w:val="auto"/>
              </w:rPr>
            </w:pPr>
            <w:r>
              <w:rPr>
                <w:rFonts w:eastAsia="仿宋"/>
                <w:b/>
                <w:color w:val="auto"/>
              </w:rPr>
              <w:t>环境影响报告表批复要求：</w:t>
            </w:r>
          </w:p>
          <w:p w14:paraId="69BD9F79">
            <w:pPr>
              <w:pStyle w:val="14"/>
              <w:keepNext w:val="0"/>
              <w:keepLines w:val="0"/>
              <w:pageBreakBefore w:val="0"/>
              <w:widowControl w:val="0"/>
              <w:wordWrap/>
              <w:overflowPunct w:val="0"/>
              <w:topLinePunct w:val="0"/>
              <w:autoSpaceDE w:val="0"/>
              <w:autoSpaceDN w:val="0"/>
              <w:bidi w:val="0"/>
              <w:adjustRightInd w:val="0"/>
              <w:snapToGrid/>
              <w:spacing w:line="500" w:lineRule="exact"/>
              <w:ind w:firstLine="480" w:firstLineChars="200"/>
              <w:jc w:val="both"/>
              <w:textAlignment w:val="auto"/>
              <w:rPr>
                <w:rFonts w:hint="eastAsia" w:eastAsia="仿宋"/>
                <w:color w:val="auto"/>
              </w:rPr>
            </w:pPr>
            <w:r>
              <w:rPr>
                <w:rFonts w:eastAsia="仿宋"/>
                <w:color w:val="auto"/>
              </w:rPr>
              <w:t>一、</w:t>
            </w:r>
            <w:r>
              <w:rPr>
                <w:rFonts w:hint="eastAsia" w:eastAsia="仿宋"/>
                <w:color w:val="auto"/>
              </w:rPr>
              <w:t>项目共新建4条总长度为20780米的危险化学品输送管线，分别为自炼化外罐区至虹港石化(2410米)的乙二醇输送管线，自荣泰仓储至斯尔邦石化、虹科新材料和虹港石化 ( 12400米)的丙烷输送管线，自荣泰仓储至斯尔邦石化(470米)的丙酮输送管线，自荣泰仓储至盛虹炼化、虹港石化(5500米)的丁烷输送管线</w:t>
            </w:r>
            <w:r>
              <w:rPr>
                <w:rFonts w:hint="eastAsia" w:eastAsia="仿宋"/>
                <w:color w:val="auto"/>
                <w:lang w:eastAsia="zh-CN"/>
              </w:rPr>
              <w:t>；</w:t>
            </w:r>
            <w:r>
              <w:rPr>
                <w:rFonts w:hint="eastAsia" w:eastAsia="仿宋"/>
                <w:color w:val="auto"/>
              </w:rPr>
              <w:t>同步建设丙烷复热器、增压泵、换热器、冷冻水罐、相关机泵等附属配套设施项目总投资5923.72万元，其中环保投资60万元，占总投资的1%。</w:t>
            </w:r>
          </w:p>
          <w:p w14:paraId="0FC49B54">
            <w:pPr>
              <w:pStyle w:val="14"/>
              <w:keepNext w:val="0"/>
              <w:keepLines w:val="0"/>
              <w:pageBreakBefore w:val="0"/>
              <w:widowControl w:val="0"/>
              <w:wordWrap/>
              <w:overflowPunct w:val="0"/>
              <w:topLinePunct w:val="0"/>
              <w:autoSpaceDE w:val="0"/>
              <w:autoSpaceDN w:val="0"/>
              <w:bidi w:val="0"/>
              <w:adjustRightInd w:val="0"/>
              <w:snapToGrid/>
              <w:spacing w:line="500" w:lineRule="exact"/>
              <w:ind w:firstLine="480" w:firstLineChars="200"/>
              <w:jc w:val="both"/>
              <w:textAlignment w:val="auto"/>
              <w:rPr>
                <w:rFonts w:hint="eastAsia" w:eastAsia="仿宋"/>
                <w:color w:val="auto"/>
              </w:rPr>
            </w:pPr>
            <w:r>
              <w:rPr>
                <w:rFonts w:hint="eastAsia" w:eastAsia="仿宋"/>
                <w:color w:val="auto"/>
              </w:rPr>
              <w:t>项目符合国家、省产业政策和《连云港市城市总体规划(2015-2030)》、《连云港石化产业基地总体发展规划修编》及规划修编环评审查意见的相关要求。项目实施将对周边环境产生一定不利影响，在全面落实“报告表”和本批复提出的各项生态环境保护措施后，不利生态环境影响能够得到减缓和控制。根据“报告表”评价结论及专家函审意见，我局原则同意“报告表”的环境影响评价总体结论和拟采取的生态环境保护猎施。</w:t>
            </w:r>
          </w:p>
          <w:p w14:paraId="4EBE8958">
            <w:pPr>
              <w:pStyle w:val="14"/>
              <w:keepNext w:val="0"/>
              <w:keepLines w:val="0"/>
              <w:pageBreakBefore w:val="0"/>
              <w:widowControl w:val="0"/>
              <w:wordWrap/>
              <w:overflowPunct w:val="0"/>
              <w:topLinePunct w:val="0"/>
              <w:autoSpaceDE w:val="0"/>
              <w:autoSpaceDN w:val="0"/>
              <w:bidi w:val="0"/>
              <w:adjustRightInd w:val="0"/>
              <w:snapToGrid/>
              <w:spacing w:line="500" w:lineRule="exact"/>
              <w:ind w:firstLine="480" w:firstLineChars="200"/>
              <w:jc w:val="both"/>
              <w:textAlignment w:val="auto"/>
              <w:rPr>
                <w:rFonts w:hint="eastAsia" w:eastAsia="仿宋"/>
                <w:color w:val="auto"/>
                <w:lang w:eastAsia="zh-CN"/>
              </w:rPr>
            </w:pPr>
            <w:r>
              <w:rPr>
                <w:rFonts w:hint="eastAsia" w:eastAsia="仿宋"/>
                <w:color w:val="auto"/>
              </w:rPr>
              <w:t>二、在项目工程设计、建设及运营过程中，你公司必须严格落实“报告表”中提出的各项环保要求，确保各类污染物稳定达标排放的前提下，须着重做好以下工作</w:t>
            </w:r>
            <w:r>
              <w:rPr>
                <w:rFonts w:hint="eastAsia" w:eastAsia="仿宋"/>
                <w:color w:val="auto"/>
                <w:lang w:eastAsia="zh-CN"/>
              </w:rPr>
              <w:t>：</w:t>
            </w:r>
          </w:p>
          <w:p w14:paraId="3FFD8351">
            <w:pPr>
              <w:pStyle w:val="14"/>
              <w:keepNext w:val="0"/>
              <w:keepLines w:val="0"/>
              <w:pageBreakBefore w:val="0"/>
              <w:widowControl w:val="0"/>
              <w:wordWrap/>
              <w:overflowPunct w:val="0"/>
              <w:topLinePunct w:val="0"/>
              <w:autoSpaceDE w:val="0"/>
              <w:autoSpaceDN w:val="0"/>
              <w:bidi w:val="0"/>
              <w:adjustRightInd w:val="0"/>
              <w:snapToGrid/>
              <w:spacing w:line="500" w:lineRule="exact"/>
              <w:ind w:firstLine="480" w:firstLineChars="200"/>
              <w:jc w:val="both"/>
              <w:textAlignment w:val="auto"/>
              <w:rPr>
                <w:rFonts w:hint="eastAsia" w:eastAsia="仿宋"/>
                <w:color w:val="auto"/>
              </w:rPr>
            </w:pPr>
            <w:r>
              <w:rPr>
                <w:rFonts w:hint="eastAsia" w:eastAsia="仿宋"/>
                <w:color w:val="auto"/>
              </w:rPr>
              <w:t>(一)项目应全过程贯彻清洁生产原则和循环经济理念，加强环境管理，加强“三废”收集处理，最大限度减少污染物产生量和排放量，确保区域环境质量不下降。项目污染控制应符合《连云港石化产业基地总体发展规划修编环境影响报告书》及审查意见。</w:t>
            </w:r>
          </w:p>
          <w:p w14:paraId="6E3994F1">
            <w:pPr>
              <w:pStyle w:val="14"/>
              <w:keepNext w:val="0"/>
              <w:keepLines w:val="0"/>
              <w:pageBreakBefore w:val="0"/>
              <w:widowControl w:val="0"/>
              <w:wordWrap/>
              <w:overflowPunct w:val="0"/>
              <w:topLinePunct w:val="0"/>
              <w:autoSpaceDE w:val="0"/>
              <w:autoSpaceDN w:val="0"/>
              <w:bidi w:val="0"/>
              <w:adjustRightInd w:val="0"/>
              <w:snapToGrid/>
              <w:spacing w:line="500" w:lineRule="exact"/>
              <w:ind w:firstLine="480" w:firstLineChars="200"/>
              <w:jc w:val="both"/>
              <w:textAlignment w:val="auto"/>
              <w:rPr>
                <w:rFonts w:hint="eastAsia" w:eastAsia="仿宋"/>
                <w:color w:val="auto"/>
              </w:rPr>
            </w:pPr>
            <w:r>
              <w:rPr>
                <w:rFonts w:hint="eastAsia" w:eastAsia="仿宋"/>
                <w:color w:val="auto"/>
              </w:rPr>
              <w:t>(二)按照《关于加强施工场地环境管理的通知》做好施工场地环境管理，落实污染防治措施，减少扬尘、噪声、VOCs和固体废物等对周围环境的影响，扬尘执行《施工场地扬尘排 放标准》( DB32/4437-2022)</w:t>
            </w:r>
            <w:r>
              <w:rPr>
                <w:rFonts w:hint="eastAsia" w:eastAsia="仿宋"/>
                <w:color w:val="auto"/>
                <w:lang w:eastAsia="zh-CN"/>
              </w:rPr>
              <w:t>，</w:t>
            </w:r>
            <w:r>
              <w:rPr>
                <w:rFonts w:hint="eastAsia" w:eastAsia="仿宋"/>
                <w:color w:val="auto"/>
              </w:rPr>
              <w:t>噪声执行《建筑施工场界环境噪声排放标准》( GB12523-2011)。清管试压废水收集后依托斯尔邦石化污水处理站处理后回用。使用的非道路移动机械要通过“非道路移动机械环保信息采集”微信小程序进行信息采集，并应符合《徐圩新区柴油货车及非道路移动机械准入“白名单”制度》(示范区环发[2020]42号)要求。</w:t>
            </w:r>
          </w:p>
          <w:p w14:paraId="5B78592B">
            <w:pPr>
              <w:pStyle w:val="14"/>
              <w:keepNext w:val="0"/>
              <w:keepLines w:val="0"/>
              <w:pageBreakBefore w:val="0"/>
              <w:widowControl w:val="0"/>
              <w:wordWrap/>
              <w:overflowPunct w:val="0"/>
              <w:topLinePunct w:val="0"/>
              <w:autoSpaceDE w:val="0"/>
              <w:autoSpaceDN w:val="0"/>
              <w:bidi w:val="0"/>
              <w:adjustRightInd w:val="0"/>
              <w:snapToGrid/>
              <w:spacing w:line="500" w:lineRule="exact"/>
              <w:ind w:firstLine="480" w:firstLineChars="200"/>
              <w:jc w:val="both"/>
              <w:textAlignment w:val="auto"/>
              <w:rPr>
                <w:rFonts w:hint="eastAsia" w:eastAsia="仿宋"/>
                <w:color w:val="auto"/>
              </w:rPr>
            </w:pPr>
            <w:r>
              <w:rPr>
                <w:rFonts w:hint="eastAsia" w:eastAsia="仿宋"/>
                <w:color w:val="auto"/>
              </w:rPr>
              <w:t>(三) 项目正常运行时无废水、固体废物产生和排放。严格落实“报告表”中提出的非正常工况污染防治措施。</w:t>
            </w:r>
          </w:p>
          <w:p w14:paraId="219C821F">
            <w:pPr>
              <w:pStyle w:val="14"/>
              <w:keepNext w:val="0"/>
              <w:keepLines w:val="0"/>
              <w:pageBreakBefore w:val="0"/>
              <w:widowControl w:val="0"/>
              <w:wordWrap/>
              <w:overflowPunct w:val="0"/>
              <w:topLinePunct w:val="0"/>
              <w:autoSpaceDE w:val="0"/>
              <w:autoSpaceDN w:val="0"/>
              <w:bidi w:val="0"/>
              <w:adjustRightInd w:val="0"/>
              <w:snapToGrid/>
              <w:spacing w:line="500" w:lineRule="exact"/>
              <w:ind w:firstLine="480" w:firstLineChars="200"/>
              <w:jc w:val="both"/>
              <w:textAlignment w:val="auto"/>
              <w:rPr>
                <w:rFonts w:hint="eastAsia" w:eastAsia="仿宋"/>
                <w:color w:val="auto"/>
              </w:rPr>
            </w:pPr>
            <w:r>
              <w:rPr>
                <w:rFonts w:hint="eastAsia" w:eastAsia="仿宋"/>
                <w:color w:val="auto"/>
              </w:rPr>
              <w:t>(四)加强噪声管理工作。优先选用低噪声设备，高噪声设备须合理布局并采取有效的减振、隔声、消声措施。</w:t>
            </w:r>
          </w:p>
          <w:p w14:paraId="4FE74E9B">
            <w:pPr>
              <w:pStyle w:val="14"/>
              <w:keepNext w:val="0"/>
              <w:keepLines w:val="0"/>
              <w:pageBreakBefore w:val="0"/>
              <w:widowControl w:val="0"/>
              <w:wordWrap/>
              <w:overflowPunct w:val="0"/>
              <w:topLinePunct w:val="0"/>
              <w:autoSpaceDE w:val="0"/>
              <w:autoSpaceDN w:val="0"/>
              <w:bidi w:val="0"/>
              <w:adjustRightInd w:val="0"/>
              <w:snapToGrid/>
              <w:spacing w:line="500" w:lineRule="exact"/>
              <w:ind w:firstLine="480" w:firstLineChars="200"/>
              <w:jc w:val="both"/>
              <w:textAlignment w:val="auto"/>
              <w:rPr>
                <w:rFonts w:hint="eastAsia" w:eastAsia="仿宋"/>
                <w:color w:val="auto"/>
              </w:rPr>
            </w:pPr>
            <w:r>
              <w:rPr>
                <w:rFonts w:hint="eastAsia" w:eastAsia="仿宋"/>
                <w:color w:val="auto"/>
              </w:rPr>
              <w:t>(五)严格落实“报告表”中提到的各项环境风险防范措施。在项目投入生产前，根据《突发环境事件应急管理办法》、《企事业单位和工业园区突发环境事件应急预案编制导则》 ( DB32/T3795-2020)等文件要求制定突发环境事件应急预案并备案，建立突发环境事件隐患排查制度并形成台账，建设完善应急队伍，配备环境应急设备和物资，按相关要求开展环境应急演练和培训。</w:t>
            </w:r>
          </w:p>
          <w:p w14:paraId="741DB73A">
            <w:pPr>
              <w:pStyle w:val="14"/>
              <w:keepNext w:val="0"/>
              <w:keepLines w:val="0"/>
              <w:pageBreakBefore w:val="0"/>
              <w:widowControl w:val="0"/>
              <w:wordWrap/>
              <w:overflowPunct w:val="0"/>
              <w:topLinePunct w:val="0"/>
              <w:autoSpaceDE w:val="0"/>
              <w:autoSpaceDN w:val="0"/>
              <w:bidi w:val="0"/>
              <w:adjustRightInd w:val="0"/>
              <w:snapToGrid/>
              <w:spacing w:line="500" w:lineRule="exact"/>
              <w:ind w:firstLine="480" w:firstLineChars="200"/>
              <w:jc w:val="both"/>
              <w:textAlignment w:val="auto"/>
              <w:rPr>
                <w:rFonts w:hint="eastAsia" w:eastAsia="仿宋"/>
                <w:color w:val="auto"/>
              </w:rPr>
            </w:pPr>
            <w:r>
              <w:rPr>
                <w:rFonts w:hint="eastAsia" w:eastAsia="仿宋"/>
                <w:color w:val="auto"/>
              </w:rPr>
              <w:t>三、严格落实生态环境保护主体责任，你公司应对“报告表”的内容和结论负责。</w:t>
            </w:r>
          </w:p>
          <w:p w14:paraId="58311888">
            <w:pPr>
              <w:pStyle w:val="14"/>
              <w:keepNext w:val="0"/>
              <w:keepLines w:val="0"/>
              <w:pageBreakBefore w:val="0"/>
              <w:widowControl w:val="0"/>
              <w:wordWrap/>
              <w:overflowPunct w:val="0"/>
              <w:topLinePunct w:val="0"/>
              <w:autoSpaceDE w:val="0"/>
              <w:autoSpaceDN w:val="0"/>
              <w:bidi w:val="0"/>
              <w:adjustRightInd w:val="0"/>
              <w:snapToGrid/>
              <w:spacing w:line="500" w:lineRule="exact"/>
              <w:ind w:firstLine="480" w:firstLineChars="200"/>
              <w:jc w:val="both"/>
              <w:textAlignment w:val="auto"/>
              <w:rPr>
                <w:rFonts w:hint="eastAsia" w:eastAsia="仿宋"/>
                <w:color w:val="auto"/>
              </w:rPr>
            </w:pPr>
            <w:r>
              <w:rPr>
                <w:rFonts w:hint="eastAsia" w:eastAsia="仿宋"/>
                <w:color w:val="auto"/>
              </w:rPr>
              <w:t>四、依托工程、环保设施的投运是项目投运的前置条件。法律法规政策有其他许可要求的事项，项目须取得相关部门的许可后方可建设与投产。</w:t>
            </w:r>
          </w:p>
          <w:p w14:paraId="7BF1D68A">
            <w:pPr>
              <w:pStyle w:val="14"/>
              <w:keepNext w:val="0"/>
              <w:keepLines w:val="0"/>
              <w:pageBreakBefore w:val="0"/>
              <w:widowControl w:val="0"/>
              <w:wordWrap/>
              <w:overflowPunct w:val="0"/>
              <w:topLinePunct w:val="0"/>
              <w:autoSpaceDE w:val="0"/>
              <w:autoSpaceDN w:val="0"/>
              <w:bidi w:val="0"/>
              <w:adjustRightInd w:val="0"/>
              <w:snapToGrid/>
              <w:spacing w:line="500" w:lineRule="exact"/>
              <w:ind w:firstLine="480" w:firstLineChars="200"/>
              <w:jc w:val="both"/>
              <w:textAlignment w:val="auto"/>
              <w:rPr>
                <w:rFonts w:hint="eastAsia" w:eastAsia="仿宋"/>
                <w:color w:val="auto"/>
              </w:rPr>
            </w:pPr>
            <w:r>
              <w:rPr>
                <w:rFonts w:hint="eastAsia" w:eastAsia="仿宋"/>
                <w:color w:val="auto"/>
              </w:rPr>
              <w:t>五、项目在施工期与运营期，应建立健全环境管理制度，加强环境管理，按照《建设项目环境影响评价信息公开机制方案》及其他相关要求做好建设项目信息公开工作，自觉接受社会监督。</w:t>
            </w:r>
          </w:p>
          <w:p w14:paraId="53FABBAE">
            <w:pPr>
              <w:pStyle w:val="14"/>
              <w:keepNext w:val="0"/>
              <w:keepLines w:val="0"/>
              <w:pageBreakBefore w:val="0"/>
              <w:widowControl w:val="0"/>
              <w:wordWrap/>
              <w:overflowPunct w:val="0"/>
              <w:topLinePunct w:val="0"/>
              <w:autoSpaceDE w:val="0"/>
              <w:autoSpaceDN w:val="0"/>
              <w:bidi w:val="0"/>
              <w:adjustRightInd w:val="0"/>
              <w:snapToGrid/>
              <w:spacing w:line="500" w:lineRule="exact"/>
              <w:ind w:firstLine="480" w:firstLineChars="200"/>
              <w:jc w:val="both"/>
              <w:textAlignment w:val="auto"/>
              <w:rPr>
                <w:rFonts w:hint="eastAsia" w:eastAsia="仿宋"/>
                <w:color w:val="auto"/>
              </w:rPr>
            </w:pPr>
            <w:r>
              <w:rPr>
                <w:rFonts w:hint="eastAsia" w:eastAsia="仿宋"/>
                <w:color w:val="auto"/>
              </w:rPr>
              <w:t>六、项目建设应严格执行环境保护“三同时”制度，认真落实各项环境保护工作及排污许可证制度要求</w:t>
            </w:r>
            <w:r>
              <w:rPr>
                <w:rFonts w:hint="eastAsia" w:eastAsia="仿宋"/>
                <w:color w:val="auto"/>
                <w:lang w:eastAsia="zh-CN"/>
              </w:rPr>
              <w:t>；</w:t>
            </w:r>
            <w:r>
              <w:rPr>
                <w:rFonts w:hint="eastAsia" w:eastAsia="仿宋"/>
                <w:color w:val="auto"/>
              </w:rPr>
              <w:t>建成后须按规定程序通过竣工环境保护验收，方可正式投入运营。</w:t>
            </w:r>
          </w:p>
          <w:p w14:paraId="08393EA1">
            <w:pPr>
              <w:pStyle w:val="14"/>
              <w:keepNext w:val="0"/>
              <w:keepLines w:val="0"/>
              <w:pageBreakBefore w:val="0"/>
              <w:widowControl w:val="0"/>
              <w:wordWrap/>
              <w:overflowPunct w:val="0"/>
              <w:topLinePunct w:val="0"/>
              <w:autoSpaceDE w:val="0"/>
              <w:autoSpaceDN w:val="0"/>
              <w:bidi w:val="0"/>
              <w:adjustRightInd w:val="0"/>
              <w:snapToGrid/>
              <w:spacing w:line="500" w:lineRule="exact"/>
              <w:ind w:firstLine="480" w:firstLineChars="200"/>
              <w:jc w:val="both"/>
              <w:textAlignment w:val="auto"/>
              <w:rPr>
                <w:rFonts w:hint="eastAsia" w:eastAsia="仿宋"/>
                <w:color w:val="auto"/>
              </w:rPr>
            </w:pPr>
            <w:r>
              <w:rPr>
                <w:rFonts w:hint="eastAsia" w:eastAsia="仿宋"/>
                <w:color w:val="auto"/>
              </w:rPr>
              <w:t>七、项目的性质、规模、地点、采用的生产工艺或者防治污染、防止生态破坏的措施发生重大变动的，环评文件须报我局重新审批。原则上项目自批准之日起超过二年方开工建设的，环评文件须报我局重新审核。</w:t>
            </w:r>
          </w:p>
          <w:p w14:paraId="2A25C420">
            <w:pPr>
              <w:pStyle w:val="14"/>
              <w:overflowPunct w:val="0"/>
              <w:spacing w:line="300" w:lineRule="auto"/>
              <w:ind w:firstLine="480" w:firstLineChars="200"/>
              <w:jc w:val="both"/>
              <w:rPr>
                <w:rFonts w:eastAsia="仿宋"/>
                <w:color w:val="auto"/>
              </w:rPr>
            </w:pPr>
          </w:p>
        </w:tc>
      </w:tr>
    </w:tbl>
    <w:p w14:paraId="09CCA4A4">
      <w:pPr>
        <w:pStyle w:val="14"/>
        <w:kinsoku w:val="0"/>
        <w:overflowPunct w:val="0"/>
        <w:adjustRightInd/>
        <w:spacing w:line="360" w:lineRule="auto"/>
        <w:rPr>
          <w:rFonts w:eastAsia="仿宋"/>
          <w:color w:val="auto"/>
          <w:sz w:val="28"/>
          <w:szCs w:val="21"/>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22A4274">
      <w:pPr>
        <w:pStyle w:val="4"/>
        <w:kinsoku w:val="0"/>
        <w:overflowPunct w:val="0"/>
        <w:spacing w:before="168"/>
        <w:ind w:left="0" w:right="255"/>
        <w:outlineLvl w:val="0"/>
        <w:rPr>
          <w:rFonts w:ascii="Times New Roman" w:eastAsia="仿宋" w:cs="Times New Roman"/>
          <w:color w:val="auto"/>
          <w:sz w:val="24"/>
          <w:szCs w:val="24"/>
        </w:rPr>
      </w:pPr>
      <w:r>
        <w:rPr>
          <w:rFonts w:ascii="Times New Roman" w:eastAsia="仿宋" w:cs="Times New Roman"/>
          <w:b/>
          <w:bCs/>
          <w:color w:val="auto"/>
          <w:sz w:val="24"/>
          <w:szCs w:val="24"/>
        </w:rPr>
        <w:t>表6  环境保护措施执行情况</w:t>
      </w:r>
    </w:p>
    <w:tbl>
      <w:tblPr>
        <w:tblStyle w:val="7"/>
        <w:tblW w:w="9071" w:type="dxa"/>
        <w:jc w:val="center"/>
        <w:tblLayout w:type="fixed"/>
        <w:tblCellMar>
          <w:top w:w="0" w:type="dxa"/>
          <w:left w:w="0" w:type="dxa"/>
          <w:bottom w:w="0" w:type="dxa"/>
          <w:right w:w="0" w:type="dxa"/>
        </w:tblCellMar>
      </w:tblPr>
      <w:tblGrid>
        <w:gridCol w:w="527"/>
        <w:gridCol w:w="1055"/>
        <w:gridCol w:w="3684"/>
        <w:gridCol w:w="2731"/>
        <w:gridCol w:w="1074"/>
      </w:tblGrid>
      <w:tr w14:paraId="0A7CA490">
        <w:tblPrEx>
          <w:tblCellMar>
            <w:top w:w="0" w:type="dxa"/>
            <w:left w:w="0" w:type="dxa"/>
            <w:bottom w:w="0" w:type="dxa"/>
            <w:right w:w="0" w:type="dxa"/>
          </w:tblCellMar>
        </w:tblPrEx>
        <w:trPr>
          <w:trHeight w:val="20" w:hRule="atLeast"/>
          <w:jc w:val="center"/>
        </w:trPr>
        <w:tc>
          <w:tcPr>
            <w:tcW w:w="1582" w:type="dxa"/>
            <w:gridSpan w:val="2"/>
            <w:tcBorders>
              <w:top w:val="single" w:color="auto" w:sz="4" w:space="0"/>
              <w:left w:val="single" w:color="auto" w:sz="4" w:space="0"/>
              <w:bottom w:val="single" w:color="auto" w:sz="4" w:space="0"/>
              <w:right w:val="single" w:color="auto" w:sz="4" w:space="0"/>
              <w:tl2br w:val="single" w:color="auto" w:sz="4" w:space="0"/>
            </w:tcBorders>
            <w:vAlign w:val="center"/>
          </w:tcPr>
          <w:p w14:paraId="697EA52B">
            <w:pPr>
              <w:pStyle w:val="14"/>
              <w:overflowPunct w:val="0"/>
              <w:snapToGrid w:val="0"/>
              <w:jc w:val="center"/>
              <w:rPr>
                <w:rFonts w:eastAsia="仿宋"/>
                <w:color w:val="auto"/>
                <w:sz w:val="21"/>
                <w:szCs w:val="21"/>
              </w:rPr>
            </w:pPr>
            <w:r>
              <w:rPr>
                <w:rFonts w:eastAsia="仿宋"/>
                <w:color w:val="auto"/>
                <w:sz w:val="21"/>
                <w:szCs w:val="21"/>
              </w:rPr>
              <w:t xml:space="preserve">       项目</w:t>
            </w:r>
          </w:p>
          <w:p w14:paraId="45A201B6">
            <w:pPr>
              <w:pStyle w:val="14"/>
              <w:overflowPunct w:val="0"/>
              <w:snapToGrid w:val="0"/>
              <w:rPr>
                <w:rFonts w:eastAsia="仿宋"/>
                <w:color w:val="auto"/>
                <w:sz w:val="21"/>
                <w:szCs w:val="21"/>
              </w:rPr>
            </w:pPr>
            <w:r>
              <w:rPr>
                <w:rFonts w:eastAsia="仿宋"/>
                <w:color w:val="auto"/>
                <w:sz w:val="21"/>
                <w:szCs w:val="21"/>
              </w:rPr>
              <w:t>阶段</w:t>
            </w:r>
          </w:p>
        </w:tc>
        <w:tc>
          <w:tcPr>
            <w:tcW w:w="3684" w:type="dxa"/>
            <w:tcBorders>
              <w:top w:val="single" w:color="auto" w:sz="4" w:space="0"/>
              <w:left w:val="single" w:color="auto" w:sz="4" w:space="0"/>
              <w:bottom w:val="single" w:color="auto" w:sz="4" w:space="0"/>
              <w:right w:val="single" w:color="auto" w:sz="4" w:space="0"/>
            </w:tcBorders>
            <w:vAlign w:val="center"/>
          </w:tcPr>
          <w:p w14:paraId="04D8A581">
            <w:pPr>
              <w:pStyle w:val="14"/>
              <w:overflowPunct w:val="0"/>
              <w:snapToGrid w:val="0"/>
              <w:jc w:val="center"/>
              <w:rPr>
                <w:rFonts w:eastAsia="仿宋"/>
                <w:color w:val="auto"/>
                <w:sz w:val="21"/>
                <w:szCs w:val="21"/>
              </w:rPr>
            </w:pPr>
            <w:r>
              <w:rPr>
                <w:rFonts w:eastAsia="仿宋"/>
                <w:color w:val="auto"/>
                <w:sz w:val="21"/>
                <w:szCs w:val="21"/>
              </w:rPr>
              <w:t>环境影响报告表及审批文件中</w:t>
            </w:r>
          </w:p>
          <w:p w14:paraId="54AB8BA1">
            <w:pPr>
              <w:pStyle w:val="14"/>
              <w:overflowPunct w:val="0"/>
              <w:snapToGrid w:val="0"/>
              <w:jc w:val="center"/>
              <w:rPr>
                <w:rFonts w:eastAsia="仿宋"/>
                <w:color w:val="auto"/>
                <w:sz w:val="21"/>
                <w:szCs w:val="21"/>
              </w:rPr>
            </w:pPr>
            <w:r>
              <w:rPr>
                <w:rFonts w:eastAsia="仿宋"/>
                <w:color w:val="auto"/>
                <w:sz w:val="21"/>
                <w:szCs w:val="21"/>
              </w:rPr>
              <w:t>要求的环境保护措施</w:t>
            </w:r>
          </w:p>
        </w:tc>
        <w:tc>
          <w:tcPr>
            <w:tcW w:w="2731" w:type="dxa"/>
            <w:tcBorders>
              <w:top w:val="single" w:color="auto" w:sz="4" w:space="0"/>
              <w:left w:val="single" w:color="auto" w:sz="4" w:space="0"/>
              <w:bottom w:val="single" w:color="auto" w:sz="4" w:space="0"/>
              <w:right w:val="single" w:color="auto" w:sz="4" w:space="0"/>
            </w:tcBorders>
            <w:vAlign w:val="center"/>
          </w:tcPr>
          <w:p w14:paraId="7C639EF7">
            <w:pPr>
              <w:pStyle w:val="14"/>
              <w:overflowPunct w:val="0"/>
              <w:snapToGrid w:val="0"/>
              <w:jc w:val="center"/>
              <w:rPr>
                <w:rFonts w:eastAsia="仿宋"/>
                <w:color w:val="auto"/>
                <w:sz w:val="21"/>
                <w:szCs w:val="21"/>
              </w:rPr>
            </w:pPr>
            <w:r>
              <w:rPr>
                <w:rFonts w:eastAsia="仿宋"/>
                <w:color w:val="auto"/>
                <w:sz w:val="21"/>
                <w:szCs w:val="21"/>
              </w:rPr>
              <w:t>环境保护措施的落实情况</w:t>
            </w:r>
          </w:p>
        </w:tc>
        <w:tc>
          <w:tcPr>
            <w:tcW w:w="1074" w:type="dxa"/>
            <w:tcBorders>
              <w:top w:val="single" w:color="auto" w:sz="4" w:space="0"/>
              <w:left w:val="single" w:color="auto" w:sz="4" w:space="0"/>
              <w:bottom w:val="single" w:color="auto" w:sz="4" w:space="0"/>
              <w:right w:val="single" w:color="auto" w:sz="4" w:space="0"/>
            </w:tcBorders>
            <w:vAlign w:val="center"/>
          </w:tcPr>
          <w:p w14:paraId="266C7AF4">
            <w:pPr>
              <w:pStyle w:val="14"/>
              <w:overflowPunct w:val="0"/>
              <w:snapToGrid w:val="0"/>
              <w:jc w:val="center"/>
              <w:rPr>
                <w:rFonts w:eastAsia="仿宋"/>
                <w:color w:val="auto"/>
                <w:sz w:val="21"/>
                <w:szCs w:val="21"/>
              </w:rPr>
            </w:pPr>
            <w:r>
              <w:rPr>
                <w:rFonts w:eastAsia="仿宋"/>
                <w:color w:val="auto"/>
                <w:sz w:val="21"/>
                <w:szCs w:val="21"/>
              </w:rPr>
              <w:t>措施的执行效果及未采取措施的原因</w:t>
            </w:r>
          </w:p>
        </w:tc>
      </w:tr>
      <w:tr w14:paraId="3ABB3E42">
        <w:tblPrEx>
          <w:tblCellMar>
            <w:top w:w="0" w:type="dxa"/>
            <w:left w:w="0" w:type="dxa"/>
            <w:bottom w:w="0" w:type="dxa"/>
            <w:right w:w="0" w:type="dxa"/>
          </w:tblCellMar>
        </w:tblPrEx>
        <w:trPr>
          <w:trHeight w:val="20" w:hRule="atLeast"/>
          <w:jc w:val="center"/>
        </w:trPr>
        <w:tc>
          <w:tcPr>
            <w:tcW w:w="527" w:type="dxa"/>
            <w:vMerge w:val="restart"/>
            <w:tcBorders>
              <w:top w:val="single" w:color="auto" w:sz="4" w:space="0"/>
              <w:left w:val="single" w:color="auto" w:sz="4" w:space="0"/>
              <w:bottom w:val="single" w:color="auto" w:sz="4" w:space="0"/>
              <w:right w:val="single" w:color="auto" w:sz="4" w:space="0"/>
            </w:tcBorders>
            <w:vAlign w:val="center"/>
          </w:tcPr>
          <w:p w14:paraId="0F58B8B7">
            <w:pPr>
              <w:pStyle w:val="14"/>
              <w:overflowPunct w:val="0"/>
              <w:snapToGrid w:val="0"/>
              <w:jc w:val="center"/>
              <w:rPr>
                <w:rFonts w:eastAsia="仿宋"/>
                <w:color w:val="auto"/>
                <w:sz w:val="21"/>
                <w:szCs w:val="21"/>
              </w:rPr>
            </w:pPr>
            <w:r>
              <w:rPr>
                <w:rFonts w:eastAsia="仿宋"/>
                <w:color w:val="auto"/>
                <w:sz w:val="21"/>
                <w:szCs w:val="21"/>
              </w:rPr>
              <w:t>设</w:t>
            </w:r>
          </w:p>
          <w:p w14:paraId="67749A3C">
            <w:pPr>
              <w:pStyle w:val="14"/>
              <w:overflowPunct w:val="0"/>
              <w:snapToGrid w:val="0"/>
              <w:jc w:val="center"/>
              <w:rPr>
                <w:rFonts w:eastAsia="仿宋"/>
                <w:color w:val="auto"/>
                <w:sz w:val="21"/>
                <w:szCs w:val="21"/>
              </w:rPr>
            </w:pPr>
            <w:r>
              <w:rPr>
                <w:rFonts w:eastAsia="仿宋"/>
                <w:color w:val="auto"/>
                <w:sz w:val="21"/>
                <w:szCs w:val="21"/>
              </w:rPr>
              <w:t>计</w:t>
            </w:r>
          </w:p>
          <w:p w14:paraId="0251FEBC">
            <w:pPr>
              <w:pStyle w:val="14"/>
              <w:overflowPunct w:val="0"/>
              <w:snapToGrid w:val="0"/>
              <w:jc w:val="center"/>
              <w:rPr>
                <w:rFonts w:eastAsia="仿宋"/>
                <w:color w:val="auto"/>
                <w:sz w:val="21"/>
                <w:szCs w:val="21"/>
              </w:rPr>
            </w:pPr>
            <w:r>
              <w:rPr>
                <w:rFonts w:eastAsia="仿宋"/>
                <w:color w:val="auto"/>
                <w:sz w:val="21"/>
                <w:szCs w:val="21"/>
              </w:rPr>
              <w:t>阶</w:t>
            </w:r>
          </w:p>
          <w:p w14:paraId="65347AA5">
            <w:pPr>
              <w:pStyle w:val="14"/>
              <w:overflowPunct w:val="0"/>
              <w:snapToGrid w:val="0"/>
              <w:jc w:val="center"/>
              <w:rPr>
                <w:rFonts w:eastAsia="仿宋"/>
                <w:color w:val="auto"/>
                <w:sz w:val="21"/>
                <w:szCs w:val="21"/>
              </w:rPr>
            </w:pPr>
            <w:r>
              <w:rPr>
                <w:rFonts w:eastAsia="仿宋"/>
                <w:color w:val="auto"/>
                <w:sz w:val="21"/>
                <w:szCs w:val="21"/>
              </w:rPr>
              <w:t>段</w:t>
            </w:r>
          </w:p>
        </w:tc>
        <w:tc>
          <w:tcPr>
            <w:tcW w:w="1055" w:type="dxa"/>
            <w:tcBorders>
              <w:top w:val="single" w:color="auto" w:sz="4" w:space="0"/>
              <w:left w:val="single" w:color="auto" w:sz="4" w:space="0"/>
              <w:bottom w:val="single" w:color="auto" w:sz="4" w:space="0"/>
              <w:right w:val="single" w:color="auto" w:sz="4" w:space="0"/>
            </w:tcBorders>
            <w:vAlign w:val="center"/>
          </w:tcPr>
          <w:p w14:paraId="6031BB78">
            <w:pPr>
              <w:pStyle w:val="14"/>
              <w:overflowPunct w:val="0"/>
              <w:snapToGrid w:val="0"/>
              <w:jc w:val="center"/>
              <w:rPr>
                <w:rFonts w:eastAsia="仿宋"/>
                <w:color w:val="auto"/>
                <w:sz w:val="21"/>
                <w:szCs w:val="21"/>
              </w:rPr>
            </w:pPr>
            <w:r>
              <w:rPr>
                <w:rFonts w:eastAsia="仿宋"/>
                <w:color w:val="auto"/>
                <w:sz w:val="21"/>
                <w:szCs w:val="21"/>
              </w:rPr>
              <w:t>生态影响</w:t>
            </w:r>
          </w:p>
        </w:tc>
        <w:tc>
          <w:tcPr>
            <w:tcW w:w="3684" w:type="dxa"/>
            <w:tcBorders>
              <w:top w:val="single" w:color="auto" w:sz="4" w:space="0"/>
              <w:left w:val="single" w:color="auto" w:sz="4" w:space="0"/>
              <w:bottom w:val="single" w:color="auto" w:sz="4" w:space="0"/>
              <w:right w:val="single" w:color="auto" w:sz="4" w:space="0"/>
            </w:tcBorders>
            <w:vAlign w:val="center"/>
          </w:tcPr>
          <w:p w14:paraId="16E103B0">
            <w:pPr>
              <w:snapToGrid w:val="0"/>
              <w:jc w:val="center"/>
              <w:rPr>
                <w:rFonts w:eastAsia="仿宋"/>
                <w:color w:val="auto"/>
                <w:sz w:val="21"/>
                <w:szCs w:val="21"/>
              </w:rPr>
            </w:pPr>
            <w:r>
              <w:rPr>
                <w:rFonts w:eastAsia="仿宋"/>
                <w:color w:val="auto"/>
                <w:sz w:val="21"/>
                <w:szCs w:val="21"/>
              </w:rPr>
              <w:t>无</w:t>
            </w:r>
          </w:p>
        </w:tc>
        <w:tc>
          <w:tcPr>
            <w:tcW w:w="2731" w:type="dxa"/>
            <w:tcBorders>
              <w:top w:val="single" w:color="auto" w:sz="4" w:space="0"/>
              <w:left w:val="single" w:color="auto" w:sz="4" w:space="0"/>
              <w:bottom w:val="single" w:color="auto" w:sz="4" w:space="0"/>
              <w:right w:val="single" w:color="auto" w:sz="4" w:space="0"/>
            </w:tcBorders>
            <w:vAlign w:val="center"/>
          </w:tcPr>
          <w:p w14:paraId="65979741">
            <w:pPr>
              <w:snapToGrid w:val="0"/>
              <w:jc w:val="center"/>
              <w:rPr>
                <w:rFonts w:eastAsia="仿宋"/>
                <w:color w:val="auto"/>
                <w:sz w:val="21"/>
                <w:szCs w:val="21"/>
              </w:rPr>
            </w:pPr>
            <w:r>
              <w:rPr>
                <w:rFonts w:eastAsia="仿宋"/>
                <w:color w:val="auto"/>
                <w:sz w:val="21"/>
                <w:szCs w:val="21"/>
              </w:rPr>
              <w:t>无</w:t>
            </w:r>
          </w:p>
        </w:tc>
        <w:tc>
          <w:tcPr>
            <w:tcW w:w="1074" w:type="dxa"/>
            <w:tcBorders>
              <w:top w:val="single" w:color="auto" w:sz="4" w:space="0"/>
              <w:left w:val="single" w:color="auto" w:sz="4" w:space="0"/>
              <w:bottom w:val="single" w:color="auto" w:sz="4" w:space="0"/>
              <w:right w:val="single" w:color="auto" w:sz="4" w:space="0"/>
            </w:tcBorders>
            <w:vAlign w:val="center"/>
          </w:tcPr>
          <w:p w14:paraId="10E8BA44">
            <w:pPr>
              <w:snapToGrid w:val="0"/>
              <w:jc w:val="center"/>
              <w:rPr>
                <w:rFonts w:eastAsia="仿宋"/>
                <w:color w:val="auto"/>
                <w:sz w:val="21"/>
                <w:szCs w:val="21"/>
              </w:rPr>
            </w:pPr>
            <w:r>
              <w:rPr>
                <w:rFonts w:eastAsia="仿宋"/>
                <w:color w:val="auto"/>
                <w:sz w:val="21"/>
                <w:szCs w:val="21"/>
              </w:rPr>
              <w:t>无</w:t>
            </w:r>
          </w:p>
        </w:tc>
      </w:tr>
      <w:tr w14:paraId="3AC90EE5">
        <w:tblPrEx>
          <w:tblCellMar>
            <w:top w:w="0" w:type="dxa"/>
            <w:left w:w="0" w:type="dxa"/>
            <w:bottom w:w="0" w:type="dxa"/>
            <w:right w:w="0" w:type="dxa"/>
          </w:tblCellMar>
        </w:tblPrEx>
        <w:trPr>
          <w:trHeight w:val="20" w:hRule="atLeast"/>
          <w:jc w:val="center"/>
        </w:trPr>
        <w:tc>
          <w:tcPr>
            <w:tcW w:w="527" w:type="dxa"/>
            <w:vMerge w:val="continue"/>
            <w:tcBorders>
              <w:top w:val="single" w:color="auto" w:sz="4" w:space="0"/>
              <w:left w:val="single" w:color="auto" w:sz="4" w:space="0"/>
              <w:bottom w:val="single" w:color="auto" w:sz="4" w:space="0"/>
              <w:right w:val="single" w:color="auto" w:sz="4" w:space="0"/>
            </w:tcBorders>
            <w:vAlign w:val="center"/>
          </w:tcPr>
          <w:p w14:paraId="3BA22F31">
            <w:pPr>
              <w:snapToGrid w:val="0"/>
              <w:jc w:val="center"/>
              <w:rPr>
                <w:rFonts w:eastAsia="仿宋"/>
                <w:color w:val="auto"/>
                <w:sz w:val="21"/>
                <w:szCs w:val="21"/>
              </w:rPr>
            </w:pPr>
          </w:p>
        </w:tc>
        <w:tc>
          <w:tcPr>
            <w:tcW w:w="1055" w:type="dxa"/>
            <w:tcBorders>
              <w:top w:val="single" w:color="auto" w:sz="4" w:space="0"/>
              <w:left w:val="single" w:color="auto" w:sz="4" w:space="0"/>
              <w:bottom w:val="single" w:color="auto" w:sz="4" w:space="0"/>
              <w:right w:val="single" w:color="auto" w:sz="4" w:space="0"/>
            </w:tcBorders>
            <w:vAlign w:val="center"/>
          </w:tcPr>
          <w:p w14:paraId="05914C6F">
            <w:pPr>
              <w:pStyle w:val="14"/>
              <w:overflowPunct w:val="0"/>
              <w:snapToGrid w:val="0"/>
              <w:jc w:val="center"/>
              <w:rPr>
                <w:rFonts w:eastAsia="仿宋"/>
                <w:color w:val="auto"/>
                <w:sz w:val="21"/>
                <w:szCs w:val="21"/>
              </w:rPr>
            </w:pPr>
            <w:r>
              <w:rPr>
                <w:rFonts w:eastAsia="仿宋"/>
                <w:color w:val="auto"/>
                <w:sz w:val="21"/>
                <w:szCs w:val="21"/>
              </w:rPr>
              <w:t>污染影响</w:t>
            </w:r>
          </w:p>
        </w:tc>
        <w:tc>
          <w:tcPr>
            <w:tcW w:w="3684" w:type="dxa"/>
            <w:tcBorders>
              <w:top w:val="single" w:color="auto" w:sz="4" w:space="0"/>
              <w:left w:val="single" w:color="auto" w:sz="4" w:space="0"/>
              <w:bottom w:val="single" w:color="auto" w:sz="4" w:space="0"/>
              <w:right w:val="single" w:color="auto" w:sz="4" w:space="0"/>
            </w:tcBorders>
            <w:vAlign w:val="center"/>
          </w:tcPr>
          <w:p w14:paraId="4B27D236">
            <w:pPr>
              <w:snapToGrid w:val="0"/>
              <w:jc w:val="center"/>
              <w:rPr>
                <w:rFonts w:eastAsia="仿宋"/>
                <w:color w:val="auto"/>
                <w:sz w:val="21"/>
                <w:szCs w:val="21"/>
              </w:rPr>
            </w:pPr>
            <w:r>
              <w:rPr>
                <w:rFonts w:eastAsia="仿宋"/>
                <w:color w:val="auto"/>
                <w:sz w:val="21"/>
                <w:szCs w:val="21"/>
              </w:rPr>
              <w:t>无</w:t>
            </w:r>
          </w:p>
        </w:tc>
        <w:tc>
          <w:tcPr>
            <w:tcW w:w="2731" w:type="dxa"/>
            <w:tcBorders>
              <w:top w:val="single" w:color="auto" w:sz="4" w:space="0"/>
              <w:left w:val="single" w:color="auto" w:sz="4" w:space="0"/>
              <w:bottom w:val="single" w:color="auto" w:sz="4" w:space="0"/>
              <w:right w:val="single" w:color="auto" w:sz="4" w:space="0"/>
            </w:tcBorders>
            <w:vAlign w:val="center"/>
          </w:tcPr>
          <w:p w14:paraId="5584B28E">
            <w:pPr>
              <w:snapToGrid w:val="0"/>
              <w:jc w:val="center"/>
              <w:rPr>
                <w:rFonts w:eastAsia="仿宋"/>
                <w:color w:val="auto"/>
                <w:sz w:val="21"/>
                <w:szCs w:val="21"/>
              </w:rPr>
            </w:pPr>
            <w:r>
              <w:rPr>
                <w:rFonts w:eastAsia="仿宋"/>
                <w:color w:val="auto"/>
                <w:sz w:val="21"/>
                <w:szCs w:val="21"/>
              </w:rPr>
              <w:t>无</w:t>
            </w:r>
          </w:p>
        </w:tc>
        <w:tc>
          <w:tcPr>
            <w:tcW w:w="1074" w:type="dxa"/>
            <w:tcBorders>
              <w:top w:val="single" w:color="auto" w:sz="4" w:space="0"/>
              <w:left w:val="single" w:color="auto" w:sz="4" w:space="0"/>
              <w:bottom w:val="single" w:color="auto" w:sz="4" w:space="0"/>
              <w:right w:val="single" w:color="auto" w:sz="4" w:space="0"/>
            </w:tcBorders>
            <w:vAlign w:val="center"/>
          </w:tcPr>
          <w:p w14:paraId="7CF0A7D4">
            <w:pPr>
              <w:snapToGrid w:val="0"/>
              <w:jc w:val="center"/>
              <w:rPr>
                <w:rFonts w:eastAsia="仿宋"/>
                <w:color w:val="auto"/>
                <w:sz w:val="21"/>
                <w:szCs w:val="21"/>
              </w:rPr>
            </w:pPr>
            <w:r>
              <w:rPr>
                <w:rFonts w:eastAsia="仿宋"/>
                <w:color w:val="auto"/>
                <w:sz w:val="21"/>
                <w:szCs w:val="21"/>
              </w:rPr>
              <w:t>无</w:t>
            </w:r>
          </w:p>
        </w:tc>
      </w:tr>
      <w:tr w14:paraId="2A9EF519">
        <w:tblPrEx>
          <w:tblCellMar>
            <w:top w:w="0" w:type="dxa"/>
            <w:left w:w="0" w:type="dxa"/>
            <w:bottom w:w="0" w:type="dxa"/>
            <w:right w:w="0" w:type="dxa"/>
          </w:tblCellMar>
        </w:tblPrEx>
        <w:trPr>
          <w:trHeight w:val="20" w:hRule="atLeast"/>
          <w:jc w:val="center"/>
        </w:trPr>
        <w:tc>
          <w:tcPr>
            <w:tcW w:w="527" w:type="dxa"/>
            <w:vMerge w:val="continue"/>
            <w:tcBorders>
              <w:top w:val="single" w:color="auto" w:sz="4" w:space="0"/>
              <w:left w:val="single" w:color="auto" w:sz="4" w:space="0"/>
              <w:bottom w:val="single" w:color="auto" w:sz="4" w:space="0"/>
              <w:right w:val="single" w:color="auto" w:sz="4" w:space="0"/>
            </w:tcBorders>
            <w:vAlign w:val="center"/>
          </w:tcPr>
          <w:p w14:paraId="51E59406">
            <w:pPr>
              <w:snapToGrid w:val="0"/>
              <w:jc w:val="center"/>
              <w:rPr>
                <w:rFonts w:eastAsia="仿宋"/>
                <w:color w:val="auto"/>
                <w:sz w:val="21"/>
                <w:szCs w:val="21"/>
              </w:rPr>
            </w:pPr>
          </w:p>
        </w:tc>
        <w:tc>
          <w:tcPr>
            <w:tcW w:w="1055" w:type="dxa"/>
            <w:tcBorders>
              <w:top w:val="single" w:color="auto" w:sz="4" w:space="0"/>
              <w:left w:val="single" w:color="auto" w:sz="4" w:space="0"/>
              <w:bottom w:val="single" w:color="auto" w:sz="4" w:space="0"/>
              <w:right w:val="single" w:color="auto" w:sz="4" w:space="0"/>
            </w:tcBorders>
            <w:vAlign w:val="center"/>
          </w:tcPr>
          <w:p w14:paraId="6B83D80F">
            <w:pPr>
              <w:pStyle w:val="14"/>
              <w:overflowPunct w:val="0"/>
              <w:snapToGrid w:val="0"/>
              <w:jc w:val="center"/>
              <w:rPr>
                <w:rFonts w:eastAsia="仿宋"/>
                <w:color w:val="auto"/>
                <w:sz w:val="21"/>
                <w:szCs w:val="21"/>
              </w:rPr>
            </w:pPr>
            <w:r>
              <w:rPr>
                <w:rFonts w:eastAsia="仿宋"/>
                <w:color w:val="auto"/>
                <w:sz w:val="21"/>
                <w:szCs w:val="21"/>
              </w:rPr>
              <w:t>社会影响</w:t>
            </w:r>
          </w:p>
        </w:tc>
        <w:tc>
          <w:tcPr>
            <w:tcW w:w="3684" w:type="dxa"/>
            <w:tcBorders>
              <w:top w:val="single" w:color="auto" w:sz="4" w:space="0"/>
              <w:left w:val="single" w:color="auto" w:sz="4" w:space="0"/>
              <w:bottom w:val="single" w:color="auto" w:sz="4" w:space="0"/>
              <w:right w:val="single" w:color="auto" w:sz="4" w:space="0"/>
            </w:tcBorders>
            <w:vAlign w:val="center"/>
          </w:tcPr>
          <w:p w14:paraId="3553F65B">
            <w:pPr>
              <w:snapToGrid w:val="0"/>
              <w:jc w:val="center"/>
              <w:rPr>
                <w:rFonts w:eastAsia="仿宋"/>
                <w:color w:val="auto"/>
                <w:sz w:val="21"/>
                <w:szCs w:val="21"/>
              </w:rPr>
            </w:pPr>
            <w:r>
              <w:rPr>
                <w:rFonts w:eastAsia="仿宋"/>
                <w:color w:val="auto"/>
                <w:sz w:val="21"/>
                <w:szCs w:val="21"/>
              </w:rPr>
              <w:t>无</w:t>
            </w:r>
          </w:p>
        </w:tc>
        <w:tc>
          <w:tcPr>
            <w:tcW w:w="2731" w:type="dxa"/>
            <w:tcBorders>
              <w:top w:val="single" w:color="auto" w:sz="4" w:space="0"/>
              <w:left w:val="single" w:color="auto" w:sz="4" w:space="0"/>
              <w:bottom w:val="single" w:color="auto" w:sz="4" w:space="0"/>
              <w:right w:val="single" w:color="auto" w:sz="4" w:space="0"/>
            </w:tcBorders>
            <w:vAlign w:val="center"/>
          </w:tcPr>
          <w:p w14:paraId="0448C4B3">
            <w:pPr>
              <w:snapToGrid w:val="0"/>
              <w:jc w:val="center"/>
              <w:rPr>
                <w:rFonts w:eastAsia="仿宋"/>
                <w:color w:val="auto"/>
                <w:sz w:val="21"/>
                <w:szCs w:val="21"/>
              </w:rPr>
            </w:pPr>
            <w:r>
              <w:rPr>
                <w:rFonts w:eastAsia="仿宋"/>
                <w:color w:val="auto"/>
                <w:sz w:val="21"/>
                <w:szCs w:val="21"/>
              </w:rPr>
              <w:t>无</w:t>
            </w:r>
          </w:p>
        </w:tc>
        <w:tc>
          <w:tcPr>
            <w:tcW w:w="1074" w:type="dxa"/>
            <w:tcBorders>
              <w:top w:val="single" w:color="auto" w:sz="4" w:space="0"/>
              <w:left w:val="single" w:color="auto" w:sz="4" w:space="0"/>
              <w:bottom w:val="single" w:color="auto" w:sz="4" w:space="0"/>
              <w:right w:val="single" w:color="auto" w:sz="4" w:space="0"/>
            </w:tcBorders>
            <w:vAlign w:val="center"/>
          </w:tcPr>
          <w:p w14:paraId="706B220B">
            <w:pPr>
              <w:snapToGrid w:val="0"/>
              <w:jc w:val="center"/>
              <w:rPr>
                <w:rFonts w:eastAsia="仿宋"/>
                <w:color w:val="auto"/>
                <w:sz w:val="21"/>
                <w:szCs w:val="21"/>
              </w:rPr>
            </w:pPr>
            <w:r>
              <w:rPr>
                <w:rFonts w:eastAsia="仿宋"/>
                <w:color w:val="auto"/>
                <w:sz w:val="21"/>
                <w:szCs w:val="21"/>
              </w:rPr>
              <w:t>无</w:t>
            </w:r>
          </w:p>
        </w:tc>
      </w:tr>
      <w:tr w14:paraId="17F7AC68">
        <w:tblPrEx>
          <w:tblCellMar>
            <w:top w:w="0" w:type="dxa"/>
            <w:left w:w="0" w:type="dxa"/>
            <w:bottom w:w="0" w:type="dxa"/>
            <w:right w:w="0" w:type="dxa"/>
          </w:tblCellMar>
        </w:tblPrEx>
        <w:trPr>
          <w:trHeight w:val="20" w:hRule="atLeast"/>
          <w:jc w:val="center"/>
        </w:trPr>
        <w:tc>
          <w:tcPr>
            <w:tcW w:w="527" w:type="dxa"/>
            <w:vMerge w:val="restart"/>
            <w:tcBorders>
              <w:top w:val="single" w:color="auto" w:sz="4" w:space="0"/>
              <w:left w:val="single" w:color="auto" w:sz="4" w:space="0"/>
              <w:bottom w:val="single" w:color="auto" w:sz="4" w:space="0"/>
              <w:right w:val="single" w:color="auto" w:sz="4" w:space="0"/>
            </w:tcBorders>
            <w:vAlign w:val="center"/>
          </w:tcPr>
          <w:p w14:paraId="08B34757">
            <w:pPr>
              <w:pStyle w:val="14"/>
              <w:overflowPunct w:val="0"/>
              <w:snapToGrid w:val="0"/>
              <w:jc w:val="center"/>
              <w:rPr>
                <w:rFonts w:eastAsia="仿宋"/>
                <w:color w:val="auto"/>
                <w:sz w:val="21"/>
                <w:szCs w:val="21"/>
              </w:rPr>
            </w:pPr>
            <w:r>
              <w:rPr>
                <w:rFonts w:eastAsia="仿宋"/>
                <w:color w:val="auto"/>
                <w:sz w:val="21"/>
                <w:szCs w:val="21"/>
              </w:rPr>
              <w:t>施</w:t>
            </w:r>
          </w:p>
          <w:p w14:paraId="483B602C">
            <w:pPr>
              <w:pStyle w:val="14"/>
              <w:overflowPunct w:val="0"/>
              <w:snapToGrid w:val="0"/>
              <w:jc w:val="center"/>
              <w:rPr>
                <w:rFonts w:eastAsia="仿宋"/>
                <w:color w:val="auto"/>
                <w:sz w:val="21"/>
                <w:szCs w:val="21"/>
              </w:rPr>
            </w:pPr>
            <w:r>
              <w:rPr>
                <w:rFonts w:eastAsia="仿宋"/>
                <w:color w:val="auto"/>
                <w:sz w:val="21"/>
                <w:szCs w:val="21"/>
              </w:rPr>
              <w:t>工</w:t>
            </w:r>
          </w:p>
          <w:p w14:paraId="71631167">
            <w:pPr>
              <w:pStyle w:val="14"/>
              <w:overflowPunct w:val="0"/>
              <w:snapToGrid w:val="0"/>
              <w:jc w:val="center"/>
              <w:rPr>
                <w:rFonts w:eastAsia="仿宋"/>
                <w:color w:val="auto"/>
                <w:sz w:val="21"/>
                <w:szCs w:val="21"/>
              </w:rPr>
            </w:pPr>
            <w:r>
              <w:rPr>
                <w:rFonts w:eastAsia="仿宋"/>
                <w:color w:val="auto"/>
                <w:sz w:val="21"/>
                <w:szCs w:val="21"/>
              </w:rPr>
              <w:t>期</w:t>
            </w:r>
          </w:p>
        </w:tc>
        <w:tc>
          <w:tcPr>
            <w:tcW w:w="1055" w:type="dxa"/>
            <w:tcBorders>
              <w:top w:val="single" w:color="auto" w:sz="4" w:space="0"/>
              <w:left w:val="single" w:color="auto" w:sz="4" w:space="0"/>
              <w:bottom w:val="single" w:color="auto" w:sz="4" w:space="0"/>
              <w:right w:val="single" w:color="auto" w:sz="4" w:space="0"/>
            </w:tcBorders>
            <w:vAlign w:val="center"/>
          </w:tcPr>
          <w:p w14:paraId="751017FB">
            <w:pPr>
              <w:pStyle w:val="14"/>
              <w:overflowPunct w:val="0"/>
              <w:snapToGrid w:val="0"/>
              <w:jc w:val="center"/>
              <w:rPr>
                <w:rFonts w:eastAsia="仿宋"/>
                <w:color w:val="auto"/>
                <w:sz w:val="21"/>
                <w:szCs w:val="21"/>
              </w:rPr>
            </w:pPr>
            <w:r>
              <w:rPr>
                <w:rFonts w:eastAsia="仿宋"/>
                <w:color w:val="auto"/>
                <w:sz w:val="21"/>
                <w:szCs w:val="21"/>
              </w:rPr>
              <w:t>生态影响</w:t>
            </w:r>
          </w:p>
        </w:tc>
        <w:tc>
          <w:tcPr>
            <w:tcW w:w="3684" w:type="dxa"/>
            <w:tcBorders>
              <w:top w:val="single" w:color="auto" w:sz="4" w:space="0"/>
              <w:left w:val="single" w:color="auto" w:sz="4" w:space="0"/>
              <w:bottom w:val="single" w:color="auto" w:sz="4" w:space="0"/>
              <w:right w:val="single" w:color="auto" w:sz="4" w:space="0"/>
            </w:tcBorders>
            <w:vAlign w:val="center"/>
          </w:tcPr>
          <w:p w14:paraId="048B4B39">
            <w:pPr>
              <w:snapToGrid w:val="0"/>
              <w:jc w:val="both"/>
              <w:rPr>
                <w:rFonts w:eastAsia="仿宋"/>
                <w:color w:val="auto"/>
                <w:sz w:val="21"/>
                <w:szCs w:val="21"/>
              </w:rPr>
            </w:pPr>
            <w:r>
              <w:rPr>
                <w:rFonts w:eastAsia="仿宋"/>
                <w:b/>
                <w:color w:val="auto"/>
                <w:sz w:val="21"/>
                <w:szCs w:val="21"/>
              </w:rPr>
              <w:t>批复意见：</w:t>
            </w:r>
            <w:r>
              <w:rPr>
                <w:rFonts w:eastAsia="仿宋"/>
                <w:color w:val="auto"/>
                <w:sz w:val="21"/>
                <w:szCs w:val="21"/>
              </w:rPr>
              <w:t>项目的性质、规模、地点、采用的生产工艺或者防治污染、防止生态破坏的措施发生重大变动的，环评文件须报我局重新审批。原则上项目自批准之日起超过二年方开工建设的，环评文件须报我局重新审核。</w:t>
            </w:r>
          </w:p>
          <w:p w14:paraId="18E34C45">
            <w:pPr>
              <w:snapToGrid w:val="0"/>
              <w:jc w:val="both"/>
              <w:rPr>
                <w:rFonts w:eastAsia="仿宋"/>
                <w:color w:val="auto"/>
                <w:sz w:val="21"/>
                <w:szCs w:val="21"/>
              </w:rPr>
            </w:pPr>
            <w:r>
              <w:rPr>
                <w:rFonts w:eastAsia="仿宋"/>
                <w:b/>
                <w:color w:val="auto"/>
                <w:sz w:val="21"/>
                <w:szCs w:val="21"/>
              </w:rPr>
              <w:t>环评要求：</w:t>
            </w:r>
            <w:r>
              <w:rPr>
                <w:rFonts w:eastAsia="仿宋"/>
                <w:color w:val="auto"/>
                <w:sz w:val="21"/>
                <w:szCs w:val="21"/>
              </w:rPr>
              <w:t>本项目管线管线依托</w:t>
            </w:r>
            <w:r>
              <w:rPr>
                <w:rFonts w:hint="eastAsia" w:eastAsia="仿宋"/>
                <w:color w:val="auto"/>
                <w:sz w:val="21"/>
                <w:szCs w:val="21"/>
              </w:rPr>
              <w:t>现有</w:t>
            </w:r>
            <w:r>
              <w:rPr>
                <w:rFonts w:eastAsia="仿宋"/>
                <w:color w:val="auto"/>
                <w:sz w:val="21"/>
                <w:szCs w:val="21"/>
              </w:rPr>
              <w:t>管廊敷设，管道及其他工艺部件均为预制件和成品设备，运至现场的管道为已完成涂漆管道，运至现场后均采用焊接及法兰连接方式进行，完成无损检测和强度测试后机械竣工，施工期及营运期正常工况下不会对生态环境产生影响。</w:t>
            </w:r>
          </w:p>
        </w:tc>
        <w:tc>
          <w:tcPr>
            <w:tcW w:w="2731" w:type="dxa"/>
            <w:tcBorders>
              <w:top w:val="single" w:color="auto" w:sz="4" w:space="0"/>
              <w:left w:val="single" w:color="auto" w:sz="4" w:space="0"/>
              <w:bottom w:val="single" w:color="auto" w:sz="4" w:space="0"/>
              <w:right w:val="single" w:color="auto" w:sz="4" w:space="0"/>
            </w:tcBorders>
            <w:vAlign w:val="center"/>
          </w:tcPr>
          <w:p w14:paraId="32920127">
            <w:pPr>
              <w:pStyle w:val="14"/>
              <w:overflowPunct w:val="0"/>
              <w:snapToGrid w:val="0"/>
              <w:jc w:val="center"/>
              <w:rPr>
                <w:rFonts w:eastAsia="仿宋"/>
                <w:color w:val="auto"/>
                <w:sz w:val="21"/>
                <w:szCs w:val="21"/>
              </w:rPr>
            </w:pPr>
            <w:r>
              <w:rPr>
                <w:rFonts w:eastAsia="仿宋"/>
                <w:color w:val="auto"/>
                <w:sz w:val="21"/>
                <w:szCs w:val="21"/>
              </w:rPr>
              <w:t>本项目的性质、规模、地点、采用的生产工艺或者防治污染、防止生态破坏的措施未发生变动。</w:t>
            </w:r>
          </w:p>
        </w:tc>
        <w:tc>
          <w:tcPr>
            <w:tcW w:w="1074" w:type="dxa"/>
            <w:tcBorders>
              <w:top w:val="single" w:color="auto" w:sz="4" w:space="0"/>
              <w:left w:val="single" w:color="auto" w:sz="4" w:space="0"/>
              <w:bottom w:val="single" w:color="auto" w:sz="4" w:space="0"/>
              <w:right w:val="single" w:color="auto" w:sz="4" w:space="0"/>
            </w:tcBorders>
            <w:vAlign w:val="center"/>
          </w:tcPr>
          <w:p w14:paraId="23B99474">
            <w:pPr>
              <w:pStyle w:val="14"/>
              <w:overflowPunct w:val="0"/>
              <w:snapToGrid w:val="0"/>
              <w:jc w:val="center"/>
              <w:rPr>
                <w:rFonts w:eastAsia="仿宋"/>
                <w:color w:val="auto"/>
                <w:sz w:val="21"/>
                <w:szCs w:val="21"/>
              </w:rPr>
            </w:pPr>
            <w:r>
              <w:rPr>
                <w:rFonts w:eastAsia="仿宋"/>
                <w:color w:val="auto"/>
                <w:sz w:val="21"/>
                <w:szCs w:val="21"/>
              </w:rPr>
              <w:t>符合环保要求</w:t>
            </w:r>
          </w:p>
        </w:tc>
      </w:tr>
      <w:tr w14:paraId="10A79CAE">
        <w:tblPrEx>
          <w:tblCellMar>
            <w:top w:w="0" w:type="dxa"/>
            <w:left w:w="0" w:type="dxa"/>
            <w:bottom w:w="0" w:type="dxa"/>
            <w:right w:w="0" w:type="dxa"/>
          </w:tblCellMar>
        </w:tblPrEx>
        <w:trPr>
          <w:trHeight w:val="20" w:hRule="atLeast"/>
          <w:jc w:val="center"/>
        </w:trPr>
        <w:tc>
          <w:tcPr>
            <w:tcW w:w="527" w:type="dxa"/>
            <w:vMerge w:val="continue"/>
            <w:tcBorders>
              <w:top w:val="single" w:color="auto" w:sz="4" w:space="0"/>
              <w:left w:val="single" w:color="auto" w:sz="4" w:space="0"/>
              <w:bottom w:val="single" w:color="auto" w:sz="4" w:space="0"/>
              <w:right w:val="single" w:color="auto" w:sz="4" w:space="0"/>
            </w:tcBorders>
            <w:vAlign w:val="center"/>
          </w:tcPr>
          <w:p w14:paraId="553ADA17">
            <w:pPr>
              <w:snapToGrid w:val="0"/>
              <w:jc w:val="center"/>
              <w:rPr>
                <w:rFonts w:eastAsia="仿宋"/>
                <w:color w:val="auto"/>
                <w:sz w:val="21"/>
                <w:szCs w:val="21"/>
              </w:rPr>
            </w:pPr>
          </w:p>
        </w:tc>
        <w:tc>
          <w:tcPr>
            <w:tcW w:w="1055" w:type="dxa"/>
            <w:tcBorders>
              <w:top w:val="single" w:color="auto" w:sz="4" w:space="0"/>
              <w:left w:val="single" w:color="auto" w:sz="4" w:space="0"/>
              <w:bottom w:val="single" w:color="auto" w:sz="4" w:space="0"/>
              <w:right w:val="single" w:color="auto" w:sz="4" w:space="0"/>
            </w:tcBorders>
            <w:vAlign w:val="center"/>
          </w:tcPr>
          <w:p w14:paraId="77CD49CD">
            <w:pPr>
              <w:pStyle w:val="14"/>
              <w:overflowPunct w:val="0"/>
              <w:snapToGrid w:val="0"/>
              <w:jc w:val="center"/>
              <w:rPr>
                <w:rFonts w:eastAsia="仿宋"/>
                <w:color w:val="auto"/>
                <w:sz w:val="21"/>
                <w:szCs w:val="21"/>
              </w:rPr>
            </w:pPr>
            <w:r>
              <w:rPr>
                <w:rFonts w:eastAsia="仿宋"/>
                <w:color w:val="auto"/>
                <w:sz w:val="21"/>
                <w:szCs w:val="21"/>
              </w:rPr>
              <w:t>污染影响</w:t>
            </w:r>
          </w:p>
        </w:tc>
        <w:tc>
          <w:tcPr>
            <w:tcW w:w="3684" w:type="dxa"/>
            <w:tcBorders>
              <w:top w:val="single" w:color="auto" w:sz="4" w:space="0"/>
              <w:left w:val="single" w:color="auto" w:sz="4" w:space="0"/>
              <w:bottom w:val="single" w:color="auto" w:sz="4" w:space="0"/>
              <w:right w:val="single" w:color="auto" w:sz="4" w:space="0"/>
            </w:tcBorders>
            <w:vAlign w:val="center"/>
          </w:tcPr>
          <w:p w14:paraId="60E235CE">
            <w:pPr>
              <w:pStyle w:val="14"/>
              <w:overflowPunct w:val="0"/>
              <w:snapToGrid w:val="0"/>
              <w:jc w:val="both"/>
              <w:rPr>
                <w:rFonts w:eastAsia="仿宋"/>
                <w:color w:val="auto"/>
                <w:sz w:val="21"/>
                <w:szCs w:val="21"/>
              </w:rPr>
            </w:pPr>
            <w:r>
              <w:rPr>
                <w:rFonts w:eastAsia="仿宋"/>
                <w:b/>
                <w:color w:val="auto"/>
                <w:sz w:val="21"/>
                <w:szCs w:val="21"/>
              </w:rPr>
              <w:t>批复意见：</w:t>
            </w:r>
            <w:r>
              <w:rPr>
                <w:rFonts w:eastAsia="仿宋"/>
                <w:color w:val="auto"/>
                <w:sz w:val="21"/>
                <w:szCs w:val="21"/>
              </w:rPr>
              <w:t>1、</w:t>
            </w:r>
            <w:r>
              <w:rPr>
                <w:rFonts w:hint="eastAsia" w:eastAsia="仿宋"/>
                <w:color w:val="auto"/>
                <w:sz w:val="21"/>
                <w:szCs w:val="21"/>
              </w:rPr>
              <w:t>按照《关于加强施工场地环境管理的通知》做好施工场地环境管理，落实污染防治措施，减少扬尘、噪声、VOCs和固体废物等对周围环境的影响，扬尘执行《施工场地扬尘排放标准》( DB32/4437-2022)</w:t>
            </w:r>
            <w:r>
              <w:rPr>
                <w:rFonts w:hint="eastAsia" w:eastAsia="仿宋"/>
                <w:color w:val="auto"/>
                <w:sz w:val="21"/>
                <w:szCs w:val="21"/>
                <w:lang w:eastAsia="zh-CN"/>
              </w:rPr>
              <w:t>。</w:t>
            </w:r>
            <w:r>
              <w:rPr>
                <w:rFonts w:hint="eastAsia" w:eastAsia="仿宋"/>
                <w:color w:val="auto"/>
                <w:sz w:val="21"/>
                <w:szCs w:val="21"/>
                <w:lang w:val="en-US" w:eastAsia="zh-CN"/>
              </w:rPr>
              <w:t>2、</w:t>
            </w:r>
            <w:r>
              <w:rPr>
                <w:rFonts w:hint="eastAsia" w:eastAsia="仿宋"/>
                <w:color w:val="auto"/>
                <w:sz w:val="21"/>
                <w:szCs w:val="21"/>
              </w:rPr>
              <w:t>噪声执行《建筑施工场界环境噪声排放标准》( GB12523-2011)。</w:t>
            </w:r>
            <w:r>
              <w:rPr>
                <w:rFonts w:hint="eastAsia" w:eastAsia="仿宋"/>
                <w:color w:val="auto"/>
                <w:sz w:val="21"/>
                <w:szCs w:val="21"/>
                <w:lang w:val="en-US" w:eastAsia="zh-CN"/>
              </w:rPr>
              <w:t>3、</w:t>
            </w:r>
            <w:r>
              <w:rPr>
                <w:rFonts w:hint="eastAsia" w:eastAsia="仿宋"/>
                <w:color w:val="auto"/>
                <w:sz w:val="21"/>
                <w:szCs w:val="21"/>
              </w:rPr>
              <w:t>清管试压废水收集后依托斯尔邦石化污水处理站处理后回用于斯尔邦石化循环水系统。</w:t>
            </w:r>
            <w:r>
              <w:rPr>
                <w:rFonts w:hint="eastAsia" w:eastAsia="仿宋"/>
                <w:color w:val="auto"/>
                <w:sz w:val="21"/>
                <w:szCs w:val="21"/>
                <w:lang w:val="en-US" w:eastAsia="zh-CN"/>
              </w:rPr>
              <w:t>4、</w:t>
            </w:r>
            <w:r>
              <w:rPr>
                <w:rFonts w:hint="eastAsia" w:eastAsia="仿宋"/>
                <w:color w:val="auto"/>
                <w:sz w:val="21"/>
                <w:szCs w:val="21"/>
              </w:rPr>
              <w:t>使用的非道路移动机械要通过“非道路移动机械环保信息采集”微信小程序进行信息采集，并应符合《徐圩新区柴油货车及非道路移动机械准入“白名单”制度》(示范区环发[2020]42号)要求。</w:t>
            </w:r>
          </w:p>
          <w:p w14:paraId="754575D5">
            <w:pPr>
              <w:pStyle w:val="14"/>
              <w:overflowPunct w:val="0"/>
              <w:snapToGrid w:val="0"/>
              <w:jc w:val="both"/>
              <w:rPr>
                <w:rFonts w:eastAsia="仿宋"/>
                <w:color w:val="auto"/>
                <w:sz w:val="21"/>
                <w:szCs w:val="21"/>
              </w:rPr>
            </w:pPr>
            <w:r>
              <w:rPr>
                <w:rFonts w:eastAsia="仿宋"/>
                <w:b/>
                <w:color w:val="auto"/>
                <w:sz w:val="21"/>
                <w:szCs w:val="21"/>
              </w:rPr>
              <w:t>环评要求：</w:t>
            </w:r>
            <w:r>
              <w:rPr>
                <w:rFonts w:eastAsia="仿宋"/>
                <w:color w:val="auto"/>
                <w:sz w:val="21"/>
                <w:szCs w:val="21"/>
              </w:rPr>
              <w:t>1、大气：施工期间对大气环境产生影响的主要因素是物料运输产生的扬尘，焊接过程中产生的烟尘，施工机械、设备、车辆产生的无组织尾气以及管道补漆期间产生的涂漆废气。施工场地有条件设置围挡的均应当设置不低于1.8m高围挡；严格控制运输车辆车速，运输道路、施工 场地等易起尘区域应定期洒水、清扫，减少扬尘污染；</w:t>
            </w:r>
            <w:r>
              <w:rPr>
                <w:rFonts w:hint="eastAsia" w:eastAsia="仿宋"/>
                <w:color w:val="auto"/>
                <w:sz w:val="21"/>
                <w:szCs w:val="21"/>
              </w:rPr>
              <w:t>评价建议尽量采用保护焊接方式进行焊接，减少焊接烟气产生量；加强现场管理，使用熟练的焊接工人，提高焊接效率，减少废气产生量。</w:t>
            </w:r>
            <w:r>
              <w:rPr>
                <w:rFonts w:eastAsia="仿宋"/>
                <w:color w:val="auto"/>
                <w:sz w:val="21"/>
                <w:szCs w:val="21"/>
              </w:rPr>
              <w:t>2、废水：</w:t>
            </w:r>
            <w:r>
              <w:rPr>
                <w:rFonts w:hint="eastAsia" w:eastAsia="仿宋"/>
                <w:color w:val="auto"/>
                <w:sz w:val="21"/>
                <w:szCs w:val="21"/>
              </w:rPr>
              <w:t>项目施工期废水主要包括生活污水和管道的清管试压废水。管线试压废水主要污染物为铁锈、沙石等，集中收集与生活污水一起收集至荣泰仓储污水站进行处理，后排入斯尔邦石化有限公司污水处理站统一处理后回用于斯尔邦石化循环水系统</w:t>
            </w:r>
            <w:r>
              <w:rPr>
                <w:rFonts w:eastAsia="仿宋"/>
                <w:color w:val="auto"/>
                <w:sz w:val="21"/>
                <w:szCs w:val="21"/>
              </w:rPr>
              <w:t>；</w:t>
            </w:r>
          </w:p>
          <w:p w14:paraId="5FF68876">
            <w:pPr>
              <w:pStyle w:val="14"/>
              <w:overflowPunct w:val="0"/>
              <w:snapToGrid w:val="0"/>
              <w:jc w:val="both"/>
              <w:rPr>
                <w:rFonts w:eastAsia="仿宋"/>
                <w:color w:val="auto"/>
                <w:sz w:val="21"/>
                <w:szCs w:val="21"/>
              </w:rPr>
            </w:pPr>
            <w:r>
              <w:rPr>
                <w:rFonts w:eastAsia="仿宋"/>
                <w:color w:val="auto"/>
                <w:sz w:val="21"/>
                <w:szCs w:val="21"/>
              </w:rPr>
              <w:t>3、噪声：选用低噪声机械设备；动力机械设备定期维修、养护，以保证其在正常工况下工作制定合理的施工计划，严格控制和管理产噪设备的使用时间，避免在同一区段安排大量强噪声设备同时施工；施工现场合理布局，避免局部声级过高，降低施工阶段的噪声影响。4、固废：</w:t>
            </w:r>
            <w:r>
              <w:rPr>
                <w:rFonts w:hint="eastAsia" w:eastAsia="仿宋"/>
                <w:color w:val="auto"/>
                <w:sz w:val="21"/>
                <w:szCs w:val="21"/>
                <w:lang w:eastAsia="zh-CN"/>
              </w:rPr>
              <w:t>施工期间产生的固体废物主要为施工人员的生活垃圾、清管废渣、废油漆桶、废焊条。少量生活垃圾经收集后由当地环卫部门清运；首次清管作业产生的废渣产生量较小，属于一般固废，由施工单位收集后委外处理；建筑垃圾及时清运出场至建筑垃圾回收单位；废油漆桶交由有资质单位处置。</w:t>
            </w:r>
          </w:p>
        </w:tc>
        <w:tc>
          <w:tcPr>
            <w:tcW w:w="2731" w:type="dxa"/>
            <w:tcBorders>
              <w:top w:val="single" w:color="auto" w:sz="4" w:space="0"/>
              <w:left w:val="single" w:color="auto" w:sz="4" w:space="0"/>
              <w:bottom w:val="single" w:color="auto" w:sz="4" w:space="0"/>
              <w:right w:val="single" w:color="auto" w:sz="4" w:space="0"/>
            </w:tcBorders>
            <w:vAlign w:val="center"/>
          </w:tcPr>
          <w:p w14:paraId="3C8DFD89">
            <w:pPr>
              <w:pStyle w:val="14"/>
              <w:overflowPunct w:val="0"/>
              <w:snapToGrid w:val="0"/>
              <w:jc w:val="both"/>
              <w:rPr>
                <w:rFonts w:hint="eastAsia" w:eastAsia="仿宋"/>
                <w:color w:val="auto"/>
                <w:sz w:val="21"/>
                <w:szCs w:val="21"/>
                <w:lang w:eastAsia="zh-CN"/>
              </w:rPr>
            </w:pPr>
            <w:r>
              <w:rPr>
                <w:rFonts w:eastAsia="仿宋"/>
                <w:color w:val="auto"/>
                <w:sz w:val="21"/>
                <w:szCs w:val="21"/>
              </w:rPr>
              <w:t>1、施工场地有条件设置围挡的</w:t>
            </w:r>
            <w:r>
              <w:rPr>
                <w:rFonts w:hint="eastAsia" w:eastAsia="仿宋"/>
                <w:color w:val="auto"/>
                <w:sz w:val="21"/>
                <w:szCs w:val="21"/>
              </w:rPr>
              <w:t>，</w:t>
            </w:r>
            <w:r>
              <w:rPr>
                <w:rFonts w:eastAsia="仿宋"/>
                <w:color w:val="auto"/>
                <w:sz w:val="21"/>
                <w:szCs w:val="21"/>
              </w:rPr>
              <w:t>均设置不低于1.8m高围挡；严格控制运输车辆车速，运输道路、施工 场地等易起尘区域应定期洒水、清扫，减少扬尘污染；焊接施工期间，</w:t>
            </w:r>
            <w:r>
              <w:rPr>
                <w:rFonts w:hint="eastAsia" w:eastAsia="仿宋"/>
                <w:color w:val="auto"/>
                <w:sz w:val="21"/>
                <w:szCs w:val="21"/>
              </w:rPr>
              <w:t>采用保护焊接方式进行焊接</w:t>
            </w:r>
            <w:r>
              <w:rPr>
                <w:rFonts w:hint="eastAsia" w:eastAsia="仿宋"/>
                <w:color w:val="auto"/>
                <w:sz w:val="21"/>
                <w:szCs w:val="21"/>
                <w:lang w:eastAsia="zh-CN"/>
              </w:rPr>
              <w:t>。</w:t>
            </w:r>
          </w:p>
          <w:p w14:paraId="104902B8">
            <w:pPr>
              <w:pStyle w:val="14"/>
              <w:overflowPunct w:val="0"/>
              <w:snapToGrid w:val="0"/>
              <w:jc w:val="both"/>
              <w:rPr>
                <w:rFonts w:hint="eastAsia" w:eastAsia="仿宋"/>
                <w:color w:val="auto"/>
                <w:sz w:val="21"/>
                <w:szCs w:val="21"/>
                <w:lang w:eastAsia="zh-CN"/>
              </w:rPr>
            </w:pPr>
            <w:r>
              <w:rPr>
                <w:rFonts w:eastAsia="仿宋"/>
                <w:color w:val="auto"/>
                <w:sz w:val="21"/>
                <w:szCs w:val="21"/>
              </w:rPr>
              <w:t>2、本项目</w:t>
            </w:r>
            <w:r>
              <w:rPr>
                <w:rFonts w:hint="eastAsia" w:eastAsia="仿宋"/>
                <w:color w:val="auto"/>
                <w:sz w:val="21"/>
                <w:szCs w:val="21"/>
              </w:rPr>
              <w:t>产生的管线试压废水集中收集与生活污水一起收集后排入斯尔邦石化有限公司污水处理站统一处理后回用</w:t>
            </w:r>
            <w:r>
              <w:rPr>
                <w:rFonts w:hint="eastAsia" w:eastAsia="仿宋"/>
                <w:color w:val="auto"/>
                <w:sz w:val="21"/>
                <w:szCs w:val="21"/>
                <w:lang w:eastAsia="zh-CN"/>
              </w:rPr>
              <w:t>。</w:t>
            </w:r>
          </w:p>
          <w:p w14:paraId="11ABE129">
            <w:pPr>
              <w:pStyle w:val="14"/>
              <w:overflowPunct w:val="0"/>
              <w:snapToGrid w:val="0"/>
              <w:jc w:val="both"/>
              <w:rPr>
                <w:rFonts w:eastAsia="仿宋"/>
                <w:color w:val="auto"/>
                <w:sz w:val="21"/>
                <w:szCs w:val="21"/>
              </w:rPr>
            </w:pPr>
            <w:r>
              <w:rPr>
                <w:rFonts w:eastAsia="仿宋"/>
                <w:color w:val="auto"/>
                <w:sz w:val="21"/>
                <w:szCs w:val="21"/>
              </w:rPr>
              <w:t>3、施工期合理布局，合理安排施工时间，施工机械采取隔声降噪、加强管理等措施。</w:t>
            </w:r>
          </w:p>
          <w:p w14:paraId="74B112B1">
            <w:pPr>
              <w:pStyle w:val="14"/>
              <w:overflowPunct w:val="0"/>
              <w:snapToGrid w:val="0"/>
              <w:jc w:val="both"/>
              <w:rPr>
                <w:rFonts w:eastAsia="仿宋"/>
                <w:color w:val="auto"/>
                <w:sz w:val="21"/>
                <w:szCs w:val="21"/>
              </w:rPr>
            </w:pPr>
            <w:r>
              <w:rPr>
                <w:rFonts w:eastAsia="仿宋"/>
                <w:color w:val="auto"/>
                <w:sz w:val="21"/>
                <w:szCs w:val="21"/>
              </w:rPr>
              <w:t>4、</w:t>
            </w:r>
            <w:r>
              <w:rPr>
                <w:rFonts w:hint="eastAsia" w:eastAsia="仿宋"/>
                <w:color w:val="auto"/>
                <w:sz w:val="21"/>
                <w:szCs w:val="21"/>
                <w:lang w:eastAsia="zh-CN"/>
              </w:rPr>
              <w:t>施工期间产生少量生活垃圾经收集后由当地环卫部门清运；首次清管作业产生的废渣由施工单位收集后委外处理；建筑垃圾及时清运出场至建筑垃圾回收单位；废油漆桶交由有资质单位处置。</w:t>
            </w:r>
          </w:p>
        </w:tc>
        <w:tc>
          <w:tcPr>
            <w:tcW w:w="1074" w:type="dxa"/>
            <w:tcBorders>
              <w:top w:val="single" w:color="auto" w:sz="4" w:space="0"/>
              <w:left w:val="single" w:color="auto" w:sz="4" w:space="0"/>
              <w:bottom w:val="single" w:color="auto" w:sz="4" w:space="0"/>
              <w:right w:val="single" w:color="auto" w:sz="4" w:space="0"/>
            </w:tcBorders>
            <w:vAlign w:val="center"/>
          </w:tcPr>
          <w:p w14:paraId="339D5597">
            <w:pPr>
              <w:pStyle w:val="14"/>
              <w:overflowPunct w:val="0"/>
              <w:snapToGrid w:val="0"/>
              <w:jc w:val="center"/>
              <w:rPr>
                <w:rFonts w:eastAsia="仿宋"/>
                <w:color w:val="auto"/>
                <w:sz w:val="21"/>
                <w:szCs w:val="21"/>
              </w:rPr>
            </w:pPr>
            <w:r>
              <w:rPr>
                <w:rFonts w:eastAsia="仿宋"/>
                <w:color w:val="auto"/>
                <w:sz w:val="21"/>
                <w:szCs w:val="21"/>
              </w:rPr>
              <w:t>符合环保要求</w:t>
            </w:r>
          </w:p>
        </w:tc>
      </w:tr>
      <w:tr w14:paraId="5811A8CC">
        <w:tblPrEx>
          <w:tblCellMar>
            <w:top w:w="0" w:type="dxa"/>
            <w:left w:w="0" w:type="dxa"/>
            <w:bottom w:w="0" w:type="dxa"/>
            <w:right w:w="0" w:type="dxa"/>
          </w:tblCellMar>
        </w:tblPrEx>
        <w:trPr>
          <w:trHeight w:val="20" w:hRule="atLeast"/>
          <w:jc w:val="center"/>
        </w:trPr>
        <w:tc>
          <w:tcPr>
            <w:tcW w:w="527" w:type="dxa"/>
            <w:vMerge w:val="restart"/>
            <w:tcBorders>
              <w:top w:val="single" w:color="auto" w:sz="4" w:space="0"/>
              <w:left w:val="single" w:color="auto" w:sz="4" w:space="0"/>
              <w:bottom w:val="single" w:color="auto" w:sz="4" w:space="0"/>
              <w:right w:val="single" w:color="auto" w:sz="4" w:space="0"/>
            </w:tcBorders>
            <w:vAlign w:val="center"/>
          </w:tcPr>
          <w:p w14:paraId="32ACBBF0">
            <w:pPr>
              <w:pStyle w:val="14"/>
              <w:overflowPunct w:val="0"/>
              <w:snapToGrid w:val="0"/>
              <w:jc w:val="center"/>
              <w:rPr>
                <w:rFonts w:eastAsia="仿宋"/>
                <w:color w:val="auto"/>
                <w:sz w:val="21"/>
                <w:szCs w:val="21"/>
              </w:rPr>
            </w:pPr>
            <w:r>
              <w:rPr>
                <w:rFonts w:eastAsia="仿宋"/>
                <w:color w:val="auto"/>
                <w:sz w:val="21"/>
                <w:szCs w:val="21"/>
              </w:rPr>
              <w:t>运</w:t>
            </w:r>
          </w:p>
          <w:p w14:paraId="2D847C2E">
            <w:pPr>
              <w:pStyle w:val="14"/>
              <w:overflowPunct w:val="0"/>
              <w:snapToGrid w:val="0"/>
              <w:jc w:val="center"/>
              <w:rPr>
                <w:rFonts w:eastAsia="仿宋"/>
                <w:color w:val="auto"/>
                <w:sz w:val="21"/>
                <w:szCs w:val="21"/>
              </w:rPr>
            </w:pPr>
            <w:r>
              <w:rPr>
                <w:rFonts w:eastAsia="仿宋"/>
                <w:color w:val="auto"/>
                <w:sz w:val="21"/>
                <w:szCs w:val="21"/>
              </w:rPr>
              <w:t>行</w:t>
            </w:r>
          </w:p>
          <w:p w14:paraId="1154953D">
            <w:pPr>
              <w:pStyle w:val="14"/>
              <w:overflowPunct w:val="0"/>
              <w:snapToGrid w:val="0"/>
              <w:jc w:val="center"/>
              <w:rPr>
                <w:rFonts w:eastAsia="仿宋"/>
                <w:color w:val="auto"/>
                <w:sz w:val="21"/>
                <w:szCs w:val="21"/>
              </w:rPr>
            </w:pPr>
            <w:r>
              <w:rPr>
                <w:rFonts w:eastAsia="仿宋"/>
                <w:color w:val="auto"/>
                <w:sz w:val="21"/>
                <w:szCs w:val="21"/>
              </w:rPr>
              <w:t>期</w:t>
            </w:r>
          </w:p>
        </w:tc>
        <w:tc>
          <w:tcPr>
            <w:tcW w:w="1055" w:type="dxa"/>
            <w:tcBorders>
              <w:top w:val="single" w:color="auto" w:sz="4" w:space="0"/>
              <w:left w:val="single" w:color="auto" w:sz="4" w:space="0"/>
              <w:bottom w:val="single" w:color="auto" w:sz="4" w:space="0"/>
              <w:right w:val="single" w:color="auto" w:sz="4" w:space="0"/>
            </w:tcBorders>
            <w:vAlign w:val="center"/>
          </w:tcPr>
          <w:p w14:paraId="01C95D26">
            <w:pPr>
              <w:pStyle w:val="14"/>
              <w:overflowPunct w:val="0"/>
              <w:snapToGrid w:val="0"/>
              <w:jc w:val="center"/>
              <w:rPr>
                <w:rFonts w:eastAsia="仿宋"/>
                <w:color w:val="auto"/>
                <w:sz w:val="21"/>
                <w:szCs w:val="21"/>
              </w:rPr>
            </w:pPr>
            <w:r>
              <w:rPr>
                <w:rFonts w:eastAsia="仿宋"/>
                <w:color w:val="auto"/>
                <w:sz w:val="21"/>
                <w:szCs w:val="21"/>
              </w:rPr>
              <w:t>生态影响</w:t>
            </w:r>
          </w:p>
        </w:tc>
        <w:tc>
          <w:tcPr>
            <w:tcW w:w="3684" w:type="dxa"/>
            <w:tcBorders>
              <w:top w:val="single" w:color="auto" w:sz="4" w:space="0"/>
              <w:left w:val="single" w:color="auto" w:sz="4" w:space="0"/>
              <w:bottom w:val="single" w:color="auto" w:sz="4" w:space="0"/>
              <w:right w:val="single" w:color="auto" w:sz="4" w:space="0"/>
            </w:tcBorders>
            <w:vAlign w:val="center"/>
          </w:tcPr>
          <w:p w14:paraId="03D10B16">
            <w:pPr>
              <w:snapToGrid w:val="0"/>
              <w:jc w:val="center"/>
              <w:rPr>
                <w:rFonts w:eastAsia="仿宋"/>
                <w:color w:val="auto"/>
                <w:sz w:val="21"/>
                <w:szCs w:val="21"/>
              </w:rPr>
            </w:pPr>
            <w:r>
              <w:rPr>
                <w:rFonts w:eastAsia="仿宋"/>
                <w:color w:val="auto"/>
                <w:sz w:val="21"/>
                <w:szCs w:val="21"/>
              </w:rPr>
              <w:t>无</w:t>
            </w:r>
          </w:p>
        </w:tc>
        <w:tc>
          <w:tcPr>
            <w:tcW w:w="2731" w:type="dxa"/>
            <w:tcBorders>
              <w:top w:val="single" w:color="auto" w:sz="4" w:space="0"/>
              <w:left w:val="single" w:color="auto" w:sz="4" w:space="0"/>
              <w:bottom w:val="single" w:color="auto" w:sz="4" w:space="0"/>
              <w:right w:val="single" w:color="auto" w:sz="4" w:space="0"/>
            </w:tcBorders>
            <w:vAlign w:val="center"/>
          </w:tcPr>
          <w:p w14:paraId="2A7BAEA9">
            <w:pPr>
              <w:pStyle w:val="14"/>
              <w:overflowPunct w:val="0"/>
              <w:snapToGrid w:val="0"/>
              <w:jc w:val="center"/>
              <w:rPr>
                <w:rFonts w:eastAsia="仿宋"/>
                <w:color w:val="auto"/>
                <w:sz w:val="21"/>
                <w:szCs w:val="21"/>
              </w:rPr>
            </w:pPr>
            <w:r>
              <w:rPr>
                <w:rFonts w:eastAsia="仿宋"/>
                <w:color w:val="auto"/>
                <w:sz w:val="21"/>
                <w:szCs w:val="21"/>
              </w:rPr>
              <w:t>无</w:t>
            </w:r>
          </w:p>
        </w:tc>
        <w:tc>
          <w:tcPr>
            <w:tcW w:w="1074" w:type="dxa"/>
            <w:tcBorders>
              <w:top w:val="single" w:color="auto" w:sz="4" w:space="0"/>
              <w:left w:val="single" w:color="auto" w:sz="4" w:space="0"/>
              <w:bottom w:val="single" w:color="auto" w:sz="4" w:space="0"/>
              <w:right w:val="single" w:color="auto" w:sz="4" w:space="0"/>
            </w:tcBorders>
            <w:vAlign w:val="center"/>
          </w:tcPr>
          <w:p w14:paraId="38BFC5A0">
            <w:pPr>
              <w:pStyle w:val="14"/>
              <w:overflowPunct w:val="0"/>
              <w:snapToGrid w:val="0"/>
              <w:jc w:val="center"/>
              <w:rPr>
                <w:rFonts w:eastAsia="仿宋"/>
                <w:color w:val="auto"/>
                <w:sz w:val="21"/>
                <w:szCs w:val="21"/>
              </w:rPr>
            </w:pPr>
            <w:r>
              <w:rPr>
                <w:rFonts w:eastAsia="仿宋"/>
                <w:color w:val="auto"/>
                <w:sz w:val="21"/>
                <w:szCs w:val="21"/>
              </w:rPr>
              <w:t>无</w:t>
            </w:r>
          </w:p>
        </w:tc>
      </w:tr>
      <w:tr w14:paraId="0C61BCEC">
        <w:tblPrEx>
          <w:tblCellMar>
            <w:top w:w="0" w:type="dxa"/>
            <w:left w:w="0" w:type="dxa"/>
            <w:bottom w:w="0" w:type="dxa"/>
            <w:right w:w="0" w:type="dxa"/>
          </w:tblCellMar>
        </w:tblPrEx>
        <w:trPr>
          <w:trHeight w:val="20" w:hRule="atLeast"/>
          <w:jc w:val="center"/>
        </w:trPr>
        <w:tc>
          <w:tcPr>
            <w:tcW w:w="527" w:type="dxa"/>
            <w:vMerge w:val="continue"/>
            <w:tcBorders>
              <w:top w:val="single" w:color="auto" w:sz="4" w:space="0"/>
              <w:left w:val="single" w:color="auto" w:sz="4" w:space="0"/>
              <w:bottom w:val="single" w:color="auto" w:sz="4" w:space="0"/>
              <w:right w:val="single" w:color="auto" w:sz="4" w:space="0"/>
            </w:tcBorders>
            <w:vAlign w:val="center"/>
          </w:tcPr>
          <w:p w14:paraId="41A50FF2">
            <w:pPr>
              <w:snapToGrid w:val="0"/>
              <w:jc w:val="center"/>
              <w:rPr>
                <w:rFonts w:eastAsia="仿宋"/>
                <w:color w:val="auto"/>
                <w:sz w:val="21"/>
                <w:szCs w:val="21"/>
              </w:rPr>
            </w:pPr>
          </w:p>
        </w:tc>
        <w:tc>
          <w:tcPr>
            <w:tcW w:w="1055" w:type="dxa"/>
            <w:tcBorders>
              <w:top w:val="single" w:color="auto" w:sz="4" w:space="0"/>
              <w:left w:val="single" w:color="auto" w:sz="4" w:space="0"/>
              <w:bottom w:val="single" w:color="auto" w:sz="4" w:space="0"/>
              <w:right w:val="single" w:color="auto" w:sz="4" w:space="0"/>
            </w:tcBorders>
            <w:vAlign w:val="center"/>
          </w:tcPr>
          <w:p w14:paraId="6EBCBDFB">
            <w:pPr>
              <w:pStyle w:val="14"/>
              <w:overflowPunct w:val="0"/>
              <w:snapToGrid w:val="0"/>
              <w:jc w:val="center"/>
              <w:rPr>
                <w:rFonts w:eastAsia="仿宋"/>
                <w:color w:val="auto"/>
                <w:sz w:val="21"/>
                <w:szCs w:val="21"/>
              </w:rPr>
            </w:pPr>
            <w:r>
              <w:rPr>
                <w:rFonts w:eastAsia="仿宋"/>
                <w:color w:val="auto"/>
                <w:sz w:val="21"/>
                <w:szCs w:val="21"/>
              </w:rPr>
              <w:t>污染影响</w:t>
            </w:r>
          </w:p>
        </w:tc>
        <w:tc>
          <w:tcPr>
            <w:tcW w:w="3684" w:type="dxa"/>
            <w:tcBorders>
              <w:top w:val="single" w:color="auto" w:sz="4" w:space="0"/>
              <w:left w:val="single" w:color="auto" w:sz="4" w:space="0"/>
              <w:bottom w:val="single" w:color="auto" w:sz="4" w:space="0"/>
              <w:right w:val="single" w:color="auto" w:sz="4" w:space="0"/>
            </w:tcBorders>
            <w:vAlign w:val="center"/>
          </w:tcPr>
          <w:p w14:paraId="400FAFCB">
            <w:pPr>
              <w:pStyle w:val="14"/>
              <w:overflowPunct w:val="0"/>
              <w:snapToGrid w:val="0"/>
              <w:jc w:val="both"/>
              <w:rPr>
                <w:rFonts w:hint="eastAsia" w:eastAsia="仿宋"/>
                <w:color w:val="auto"/>
                <w:sz w:val="21"/>
                <w:szCs w:val="21"/>
                <w:lang w:val="en-US" w:eastAsia="zh-CN"/>
              </w:rPr>
            </w:pPr>
            <w:r>
              <w:rPr>
                <w:rFonts w:hint="eastAsia" w:eastAsia="仿宋"/>
                <w:color w:val="auto"/>
                <w:sz w:val="21"/>
                <w:szCs w:val="21"/>
                <w:lang w:val="en-US" w:eastAsia="zh-CN"/>
              </w:rPr>
              <w:t>环评要求：（1）废气：检修等非正常工况下乙二醇吹扫废气经现有“催化氧化”处理后，通过15m排气筒排放；丙酮吹扫废气经现有“催化氧化+碱洗”处理后，通过15m排气筒排放；丁烷废气吹扫废气送往现有火炬系统焚烧处理后排空。</w:t>
            </w:r>
          </w:p>
          <w:p w14:paraId="0ED15C45">
            <w:pPr>
              <w:pStyle w:val="14"/>
              <w:overflowPunct w:val="0"/>
              <w:snapToGrid w:val="0"/>
              <w:jc w:val="both"/>
              <w:rPr>
                <w:rFonts w:hint="eastAsia" w:eastAsia="仿宋"/>
                <w:color w:val="auto"/>
                <w:sz w:val="21"/>
                <w:szCs w:val="21"/>
                <w:lang w:val="en-US" w:eastAsia="zh-CN"/>
              </w:rPr>
            </w:pPr>
            <w:r>
              <w:rPr>
                <w:rFonts w:hint="eastAsia" w:eastAsia="仿宋"/>
                <w:color w:val="auto"/>
                <w:sz w:val="21"/>
                <w:szCs w:val="21"/>
                <w:lang w:val="en-US" w:eastAsia="zh-CN"/>
              </w:rPr>
              <w:t>（2）噪声：本项目选用低噪声设备、采用设备底座增加减振垫、距离衰减等措施进行治理，根据监测结果可知，本项目厂界噪声均可达到《工业企业厂界环境噪声排放标准》(GB12348-2008)3类限值要求。</w:t>
            </w:r>
          </w:p>
          <w:p w14:paraId="759BE57A">
            <w:pPr>
              <w:pStyle w:val="14"/>
              <w:overflowPunct w:val="0"/>
              <w:snapToGrid w:val="0"/>
              <w:jc w:val="both"/>
              <w:rPr>
                <w:rFonts w:hint="default" w:eastAsia="仿宋"/>
                <w:color w:val="auto"/>
                <w:sz w:val="21"/>
                <w:szCs w:val="21"/>
                <w:lang w:val="en-US" w:eastAsia="zh-CN"/>
              </w:rPr>
            </w:pPr>
            <w:r>
              <w:rPr>
                <w:rFonts w:hint="eastAsia" w:eastAsia="仿宋"/>
                <w:color w:val="auto"/>
                <w:sz w:val="21"/>
                <w:szCs w:val="21"/>
                <w:lang w:val="en-US" w:eastAsia="zh-CN"/>
              </w:rPr>
              <w:t>（3）固废：新增管道检修及扫线废弃物暂存依托荣泰仓储厂内危废暂存库（占地面积250m</w:t>
            </w:r>
            <w:r>
              <w:rPr>
                <w:rFonts w:hint="eastAsia" w:eastAsia="仿宋"/>
                <w:color w:val="auto"/>
                <w:sz w:val="21"/>
                <w:szCs w:val="21"/>
                <w:vertAlign w:val="superscript"/>
                <w:lang w:val="en-US" w:eastAsia="zh-CN"/>
              </w:rPr>
              <w:t>2</w:t>
            </w:r>
            <w:r>
              <w:rPr>
                <w:rFonts w:hint="eastAsia" w:eastAsia="仿宋"/>
                <w:color w:val="auto"/>
                <w:sz w:val="21"/>
                <w:szCs w:val="21"/>
                <w:lang w:val="en-US" w:eastAsia="zh-CN"/>
              </w:rPr>
              <w:t>），并委托有资质单位处置。</w:t>
            </w:r>
          </w:p>
        </w:tc>
        <w:tc>
          <w:tcPr>
            <w:tcW w:w="2731" w:type="dxa"/>
            <w:tcBorders>
              <w:top w:val="single" w:color="auto" w:sz="4" w:space="0"/>
              <w:left w:val="single" w:color="auto" w:sz="4" w:space="0"/>
              <w:bottom w:val="single" w:color="auto" w:sz="4" w:space="0"/>
              <w:right w:val="single" w:color="auto" w:sz="4" w:space="0"/>
            </w:tcBorders>
            <w:vAlign w:val="center"/>
          </w:tcPr>
          <w:p w14:paraId="70FBD0FF">
            <w:pPr>
              <w:pStyle w:val="14"/>
              <w:keepNext w:val="0"/>
              <w:keepLines w:val="0"/>
              <w:pageBreakBefore w:val="0"/>
              <w:widowControl w:val="0"/>
              <w:kinsoku/>
              <w:wordWrap/>
              <w:overflowPunct w:val="0"/>
              <w:topLinePunct w:val="0"/>
              <w:autoSpaceDE w:val="0"/>
              <w:autoSpaceDN w:val="0"/>
              <w:bidi w:val="0"/>
              <w:adjustRightInd w:val="0"/>
              <w:snapToGrid w:val="0"/>
              <w:ind w:firstLine="0" w:firstLineChars="0"/>
              <w:jc w:val="both"/>
              <w:textAlignment w:val="auto"/>
              <w:rPr>
                <w:rFonts w:hint="eastAsia" w:eastAsia="仿宋"/>
                <w:color w:val="auto"/>
                <w:sz w:val="21"/>
                <w:szCs w:val="21"/>
                <w:lang w:val="en-US" w:eastAsia="zh-CN"/>
              </w:rPr>
            </w:pPr>
            <w:r>
              <w:rPr>
                <w:rFonts w:hint="eastAsia" w:eastAsia="仿宋"/>
                <w:color w:val="auto"/>
                <w:sz w:val="21"/>
                <w:szCs w:val="21"/>
                <w:lang w:val="en-US" w:eastAsia="zh-CN"/>
              </w:rPr>
              <w:t>（1）废气：本项目检修等非正常工况下乙二醇吹扫废气经现有“催化氧化”处理后，通过15m排气筒排放；丙酮吹扫废气经现有“催化氧化+碱洗”处理后，通过15m排气筒排放；丁烷废气吹扫废气送往现有火炬系统焚烧处理后排空。</w:t>
            </w:r>
          </w:p>
          <w:p w14:paraId="51438BFF">
            <w:pPr>
              <w:pStyle w:val="14"/>
              <w:keepNext w:val="0"/>
              <w:keepLines w:val="0"/>
              <w:pageBreakBefore w:val="0"/>
              <w:widowControl w:val="0"/>
              <w:numPr>
                <w:ilvl w:val="0"/>
                <w:numId w:val="0"/>
              </w:numPr>
              <w:kinsoku/>
              <w:wordWrap/>
              <w:overflowPunct w:val="0"/>
              <w:topLinePunct w:val="0"/>
              <w:autoSpaceDE w:val="0"/>
              <w:autoSpaceDN w:val="0"/>
              <w:bidi w:val="0"/>
              <w:adjustRightInd w:val="0"/>
              <w:snapToGrid w:val="0"/>
              <w:ind w:leftChars="0"/>
              <w:jc w:val="both"/>
              <w:textAlignment w:val="auto"/>
              <w:rPr>
                <w:rFonts w:hint="eastAsia" w:eastAsia="仿宋"/>
                <w:color w:val="auto"/>
                <w:sz w:val="21"/>
                <w:szCs w:val="21"/>
                <w:lang w:val="en-US" w:eastAsia="zh-CN"/>
              </w:rPr>
            </w:pPr>
            <w:r>
              <w:rPr>
                <w:rFonts w:hint="eastAsia" w:eastAsia="仿宋"/>
                <w:color w:val="auto"/>
                <w:sz w:val="21"/>
                <w:szCs w:val="21"/>
                <w:lang w:val="en-US" w:eastAsia="zh-CN"/>
              </w:rPr>
              <w:t>（2）噪声：本项目选用低噪声设备、采用设备底座增加减振垫、距离衰减等措施进行治理，根据监测结果可知，本项目厂界噪声均可达到《工业企业厂界环境噪声排放标准》(GB12348-2008)3类限值要求。</w:t>
            </w:r>
          </w:p>
          <w:p w14:paraId="3C25CBBB">
            <w:pPr>
              <w:pStyle w:val="14"/>
              <w:keepNext w:val="0"/>
              <w:keepLines w:val="0"/>
              <w:pageBreakBefore w:val="0"/>
              <w:widowControl w:val="0"/>
              <w:numPr>
                <w:ilvl w:val="0"/>
                <w:numId w:val="0"/>
              </w:numPr>
              <w:kinsoku/>
              <w:wordWrap/>
              <w:overflowPunct w:val="0"/>
              <w:topLinePunct w:val="0"/>
              <w:autoSpaceDE w:val="0"/>
              <w:autoSpaceDN w:val="0"/>
              <w:bidi w:val="0"/>
              <w:adjustRightInd w:val="0"/>
              <w:snapToGrid w:val="0"/>
              <w:ind w:leftChars="0"/>
              <w:jc w:val="both"/>
              <w:textAlignment w:val="auto"/>
              <w:rPr>
                <w:rFonts w:eastAsia="仿宋"/>
                <w:color w:val="auto"/>
                <w:sz w:val="21"/>
                <w:szCs w:val="21"/>
              </w:rPr>
            </w:pPr>
            <w:r>
              <w:rPr>
                <w:rFonts w:hint="eastAsia" w:eastAsia="仿宋"/>
                <w:color w:val="auto"/>
                <w:sz w:val="21"/>
                <w:szCs w:val="21"/>
                <w:lang w:val="en-US" w:eastAsia="zh-CN"/>
              </w:rPr>
              <w:t>（3）固废：新增管道检修及扫线废弃物暂存依托荣泰仓储厂内危废暂存库（占地面积250m</w:t>
            </w:r>
            <w:r>
              <w:rPr>
                <w:rFonts w:hint="eastAsia" w:eastAsia="仿宋"/>
                <w:color w:val="auto"/>
                <w:sz w:val="21"/>
                <w:szCs w:val="21"/>
                <w:vertAlign w:val="superscript"/>
                <w:lang w:val="en-US" w:eastAsia="zh-CN"/>
              </w:rPr>
              <w:t>2</w:t>
            </w:r>
            <w:r>
              <w:rPr>
                <w:rFonts w:hint="eastAsia" w:eastAsia="仿宋"/>
                <w:color w:val="auto"/>
                <w:sz w:val="21"/>
                <w:szCs w:val="21"/>
                <w:lang w:val="en-US" w:eastAsia="zh-CN"/>
              </w:rPr>
              <w:t>），并委托有资质单位处置。</w:t>
            </w:r>
          </w:p>
        </w:tc>
        <w:tc>
          <w:tcPr>
            <w:tcW w:w="1074" w:type="dxa"/>
            <w:tcBorders>
              <w:top w:val="single" w:color="auto" w:sz="4" w:space="0"/>
              <w:left w:val="single" w:color="auto" w:sz="4" w:space="0"/>
              <w:bottom w:val="single" w:color="auto" w:sz="4" w:space="0"/>
              <w:right w:val="single" w:color="auto" w:sz="4" w:space="0"/>
            </w:tcBorders>
            <w:vAlign w:val="center"/>
          </w:tcPr>
          <w:p w14:paraId="21D95C9A">
            <w:pPr>
              <w:pStyle w:val="14"/>
              <w:overflowPunct w:val="0"/>
              <w:snapToGrid w:val="0"/>
              <w:jc w:val="center"/>
              <w:rPr>
                <w:rFonts w:eastAsia="仿宋"/>
                <w:color w:val="auto"/>
                <w:sz w:val="21"/>
                <w:szCs w:val="21"/>
              </w:rPr>
            </w:pPr>
            <w:r>
              <w:rPr>
                <w:rFonts w:eastAsia="仿宋"/>
                <w:color w:val="auto"/>
                <w:sz w:val="21"/>
                <w:szCs w:val="21"/>
              </w:rPr>
              <w:t>无</w:t>
            </w:r>
          </w:p>
        </w:tc>
      </w:tr>
    </w:tbl>
    <w:p w14:paraId="790A17D0">
      <w:pPr>
        <w:pStyle w:val="14"/>
        <w:kinsoku w:val="0"/>
        <w:overflowPunct w:val="0"/>
        <w:adjustRightInd/>
        <w:spacing w:line="360" w:lineRule="auto"/>
        <w:rPr>
          <w:rFonts w:eastAsia="仿宋"/>
          <w:color w:val="auto"/>
          <w:sz w:val="28"/>
          <w:szCs w:val="21"/>
        </w:rPr>
      </w:pPr>
    </w:p>
    <w:p w14:paraId="731B4569">
      <w:pPr>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DDF699C">
      <w:pPr>
        <w:pStyle w:val="4"/>
        <w:kinsoku w:val="0"/>
        <w:overflowPunct w:val="0"/>
        <w:spacing w:before="168"/>
        <w:ind w:left="0" w:right="255"/>
        <w:outlineLvl w:val="0"/>
        <w:rPr>
          <w:rFonts w:ascii="Times New Roman" w:eastAsia="仿宋" w:cs="Times New Roman"/>
          <w:b/>
          <w:bCs/>
          <w:color w:val="auto"/>
          <w:sz w:val="24"/>
          <w:szCs w:val="24"/>
        </w:rPr>
      </w:pPr>
      <w:r>
        <w:rPr>
          <w:rFonts w:ascii="Times New Roman" w:eastAsia="仿宋" w:cs="Times New Roman"/>
          <w:b/>
          <w:bCs/>
          <w:color w:val="auto"/>
          <w:sz w:val="24"/>
          <w:szCs w:val="24"/>
        </w:rPr>
        <w:t>表7  环境影响调查</w:t>
      </w:r>
    </w:p>
    <w:tbl>
      <w:tblPr>
        <w:tblStyle w:val="7"/>
        <w:tblW w:w="9071" w:type="dxa"/>
        <w:jc w:val="center"/>
        <w:tblLayout w:type="fixed"/>
        <w:tblCellMar>
          <w:top w:w="0" w:type="dxa"/>
          <w:left w:w="0" w:type="dxa"/>
          <w:bottom w:w="0" w:type="dxa"/>
          <w:right w:w="0" w:type="dxa"/>
        </w:tblCellMar>
      </w:tblPr>
      <w:tblGrid>
        <w:gridCol w:w="627"/>
        <w:gridCol w:w="1001"/>
        <w:gridCol w:w="7443"/>
      </w:tblGrid>
      <w:tr w14:paraId="599F5889">
        <w:tblPrEx>
          <w:tblCellMar>
            <w:top w:w="0" w:type="dxa"/>
            <w:left w:w="0" w:type="dxa"/>
            <w:bottom w:w="0" w:type="dxa"/>
            <w:right w:w="0" w:type="dxa"/>
          </w:tblCellMar>
        </w:tblPrEx>
        <w:trPr>
          <w:trHeight w:val="1470" w:hRule="atLeast"/>
          <w:jc w:val="center"/>
        </w:trPr>
        <w:tc>
          <w:tcPr>
            <w:tcW w:w="627" w:type="dxa"/>
            <w:vMerge w:val="restart"/>
            <w:tcBorders>
              <w:top w:val="single" w:color="000000" w:sz="4" w:space="0"/>
              <w:left w:val="single" w:color="000000" w:sz="4" w:space="0"/>
              <w:bottom w:val="single" w:color="000000" w:sz="4" w:space="0"/>
              <w:right w:val="single" w:color="000000" w:sz="4" w:space="0"/>
            </w:tcBorders>
            <w:vAlign w:val="center"/>
          </w:tcPr>
          <w:p w14:paraId="6721A745">
            <w:pPr>
              <w:snapToGrid w:val="0"/>
              <w:jc w:val="center"/>
              <w:rPr>
                <w:rFonts w:eastAsia="仿宋"/>
                <w:color w:val="auto"/>
                <w:sz w:val="21"/>
                <w:szCs w:val="21"/>
              </w:rPr>
            </w:pPr>
            <w:r>
              <w:rPr>
                <w:rFonts w:eastAsia="仿宋"/>
                <w:color w:val="auto"/>
                <w:sz w:val="21"/>
                <w:szCs w:val="21"/>
              </w:rPr>
              <w:t>施</w:t>
            </w:r>
          </w:p>
          <w:p w14:paraId="5C442282">
            <w:pPr>
              <w:snapToGrid w:val="0"/>
              <w:jc w:val="center"/>
              <w:rPr>
                <w:rFonts w:eastAsia="仿宋"/>
                <w:color w:val="auto"/>
                <w:sz w:val="21"/>
                <w:szCs w:val="21"/>
              </w:rPr>
            </w:pPr>
            <w:r>
              <w:rPr>
                <w:rFonts w:eastAsia="仿宋"/>
                <w:color w:val="auto"/>
                <w:sz w:val="21"/>
                <w:szCs w:val="21"/>
              </w:rPr>
              <w:t>工</w:t>
            </w:r>
          </w:p>
          <w:p w14:paraId="0D38AE6A">
            <w:pPr>
              <w:snapToGrid w:val="0"/>
              <w:jc w:val="center"/>
              <w:rPr>
                <w:rFonts w:eastAsia="仿宋"/>
                <w:color w:val="auto"/>
                <w:sz w:val="21"/>
                <w:szCs w:val="21"/>
              </w:rPr>
            </w:pPr>
            <w:r>
              <w:rPr>
                <w:rFonts w:eastAsia="仿宋"/>
                <w:color w:val="auto"/>
                <w:sz w:val="21"/>
                <w:szCs w:val="21"/>
              </w:rPr>
              <w:t>期</w:t>
            </w:r>
          </w:p>
        </w:tc>
        <w:tc>
          <w:tcPr>
            <w:tcW w:w="1001" w:type="dxa"/>
            <w:tcBorders>
              <w:top w:val="single" w:color="000000" w:sz="4" w:space="0"/>
              <w:left w:val="single" w:color="000000" w:sz="4" w:space="0"/>
              <w:bottom w:val="single" w:color="000000" w:sz="4" w:space="0"/>
              <w:right w:val="single" w:color="000000" w:sz="4" w:space="0"/>
            </w:tcBorders>
            <w:vAlign w:val="center"/>
          </w:tcPr>
          <w:p w14:paraId="3B5B3AF9">
            <w:pPr>
              <w:snapToGrid w:val="0"/>
              <w:jc w:val="center"/>
              <w:rPr>
                <w:rFonts w:eastAsia="仿宋"/>
                <w:color w:val="auto"/>
                <w:sz w:val="21"/>
                <w:szCs w:val="21"/>
              </w:rPr>
            </w:pPr>
            <w:r>
              <w:rPr>
                <w:rFonts w:eastAsia="仿宋"/>
                <w:color w:val="auto"/>
                <w:sz w:val="21"/>
                <w:szCs w:val="21"/>
              </w:rPr>
              <w:t>生态影响</w:t>
            </w:r>
          </w:p>
        </w:tc>
        <w:tc>
          <w:tcPr>
            <w:tcW w:w="7443" w:type="dxa"/>
            <w:tcBorders>
              <w:top w:val="single" w:color="000000" w:sz="4" w:space="0"/>
              <w:left w:val="single" w:color="000000" w:sz="4" w:space="0"/>
              <w:bottom w:val="single" w:color="000000" w:sz="4" w:space="0"/>
              <w:right w:val="single" w:color="000000" w:sz="4" w:space="0"/>
            </w:tcBorders>
            <w:vAlign w:val="center"/>
          </w:tcPr>
          <w:p w14:paraId="23402A45">
            <w:pPr>
              <w:snapToGrid w:val="0"/>
              <w:jc w:val="both"/>
              <w:rPr>
                <w:rFonts w:eastAsia="仿宋"/>
                <w:color w:val="auto"/>
                <w:sz w:val="21"/>
                <w:szCs w:val="21"/>
              </w:rPr>
            </w:pPr>
            <w:r>
              <w:rPr>
                <w:rFonts w:hint="eastAsia" w:eastAsia="仿宋"/>
                <w:color w:val="auto"/>
                <w:sz w:val="21"/>
                <w:szCs w:val="21"/>
              </w:rPr>
              <w:t>施工期，管线依托现有管廊敷设，未对生态环境产生影响。</w:t>
            </w:r>
          </w:p>
          <w:p w14:paraId="358A5403">
            <w:pPr>
              <w:snapToGrid w:val="0"/>
              <w:jc w:val="both"/>
              <w:rPr>
                <w:rFonts w:eastAsia="仿宋"/>
                <w:color w:val="auto"/>
                <w:sz w:val="21"/>
                <w:szCs w:val="21"/>
              </w:rPr>
            </w:pPr>
            <w:r>
              <w:rPr>
                <w:rFonts w:hint="eastAsia" w:eastAsia="仿宋"/>
                <w:color w:val="auto"/>
                <w:sz w:val="21"/>
                <w:szCs w:val="21"/>
              </w:rPr>
              <w:t>环境</w:t>
            </w:r>
            <w:r>
              <w:rPr>
                <w:rFonts w:eastAsia="仿宋"/>
                <w:color w:val="auto"/>
                <w:sz w:val="21"/>
                <w:szCs w:val="21"/>
              </w:rPr>
              <w:t>风险防范：</w:t>
            </w:r>
            <w:r>
              <w:rPr>
                <w:rFonts w:hint="eastAsia" w:eastAsia="仿宋"/>
                <w:color w:val="auto"/>
                <w:sz w:val="21"/>
                <w:szCs w:val="21"/>
              </w:rPr>
              <w:t>项目施工期建立施工质量保证体系、制定严格的规章制度、进行空气试压试验、选择有丰富经验的单位进行施工，开展施工监理，焊接时选择空旷地带，由专业的施工团队设计专业的焊接流程，焊接区域远离易燃易爆管线，严防碰到其他管道等。</w:t>
            </w:r>
          </w:p>
        </w:tc>
      </w:tr>
      <w:tr w14:paraId="47B3D1EF">
        <w:tblPrEx>
          <w:tblCellMar>
            <w:top w:w="0" w:type="dxa"/>
            <w:left w:w="0" w:type="dxa"/>
            <w:bottom w:w="0" w:type="dxa"/>
            <w:right w:w="0" w:type="dxa"/>
          </w:tblCellMar>
        </w:tblPrEx>
        <w:trPr>
          <w:trHeight w:val="2113" w:hRule="atLeast"/>
          <w:jc w:val="center"/>
        </w:trPr>
        <w:tc>
          <w:tcPr>
            <w:tcW w:w="627" w:type="dxa"/>
            <w:vMerge w:val="continue"/>
            <w:tcBorders>
              <w:top w:val="single" w:color="000000" w:sz="4" w:space="0"/>
              <w:left w:val="single" w:color="000000" w:sz="4" w:space="0"/>
              <w:bottom w:val="single" w:color="000000" w:sz="4" w:space="0"/>
              <w:right w:val="single" w:color="000000" w:sz="4" w:space="0"/>
            </w:tcBorders>
            <w:vAlign w:val="center"/>
          </w:tcPr>
          <w:p w14:paraId="4D63A161">
            <w:pPr>
              <w:snapToGrid w:val="0"/>
              <w:jc w:val="center"/>
              <w:rPr>
                <w:rFonts w:eastAsia="仿宋"/>
                <w:color w:val="auto"/>
                <w:sz w:val="21"/>
                <w:szCs w:val="21"/>
              </w:rPr>
            </w:pPr>
          </w:p>
        </w:tc>
        <w:tc>
          <w:tcPr>
            <w:tcW w:w="1001" w:type="dxa"/>
            <w:tcBorders>
              <w:top w:val="single" w:color="000000" w:sz="4" w:space="0"/>
              <w:left w:val="single" w:color="000000" w:sz="4" w:space="0"/>
              <w:bottom w:val="single" w:color="000000" w:sz="4" w:space="0"/>
              <w:right w:val="single" w:color="000000" w:sz="4" w:space="0"/>
            </w:tcBorders>
            <w:vAlign w:val="center"/>
          </w:tcPr>
          <w:p w14:paraId="268EFA0C">
            <w:pPr>
              <w:snapToGrid w:val="0"/>
              <w:jc w:val="center"/>
              <w:rPr>
                <w:rFonts w:eastAsia="仿宋"/>
                <w:color w:val="auto"/>
                <w:sz w:val="21"/>
                <w:szCs w:val="21"/>
              </w:rPr>
            </w:pPr>
            <w:r>
              <w:rPr>
                <w:rFonts w:eastAsia="仿宋"/>
                <w:color w:val="auto"/>
                <w:sz w:val="21"/>
                <w:szCs w:val="21"/>
              </w:rPr>
              <w:t>污染影响</w:t>
            </w:r>
          </w:p>
        </w:tc>
        <w:tc>
          <w:tcPr>
            <w:tcW w:w="7443" w:type="dxa"/>
            <w:tcBorders>
              <w:top w:val="single" w:color="000000" w:sz="4" w:space="0"/>
              <w:left w:val="single" w:color="000000" w:sz="4" w:space="0"/>
              <w:bottom w:val="single" w:color="000000" w:sz="4" w:space="0"/>
              <w:right w:val="single" w:color="000000" w:sz="4" w:space="0"/>
            </w:tcBorders>
            <w:vAlign w:val="center"/>
          </w:tcPr>
          <w:p w14:paraId="3EC4E973">
            <w:pPr>
              <w:snapToGrid w:val="0"/>
              <w:jc w:val="both"/>
              <w:rPr>
                <w:rFonts w:eastAsia="仿宋"/>
                <w:color w:val="auto"/>
                <w:sz w:val="21"/>
                <w:szCs w:val="21"/>
              </w:rPr>
            </w:pPr>
            <w:r>
              <w:rPr>
                <w:rFonts w:eastAsia="仿宋"/>
                <w:color w:val="auto"/>
                <w:sz w:val="21"/>
                <w:szCs w:val="21"/>
              </w:rPr>
              <w:t>1</w:t>
            </w:r>
            <w:r>
              <w:rPr>
                <w:rFonts w:hint="eastAsia" w:eastAsia="仿宋"/>
                <w:color w:val="auto"/>
                <w:sz w:val="21"/>
                <w:szCs w:val="21"/>
              </w:rPr>
              <w:t>、大气：施工期未出现因大气污染而产生的投诉事件，施工期大气污染防治措施有效；</w:t>
            </w:r>
          </w:p>
          <w:p w14:paraId="6F423304">
            <w:pPr>
              <w:snapToGrid w:val="0"/>
              <w:jc w:val="both"/>
              <w:rPr>
                <w:rFonts w:eastAsia="仿宋"/>
                <w:color w:val="auto"/>
                <w:sz w:val="21"/>
                <w:szCs w:val="21"/>
              </w:rPr>
            </w:pPr>
            <w:r>
              <w:rPr>
                <w:rFonts w:hint="eastAsia" w:eastAsia="仿宋"/>
                <w:color w:val="auto"/>
                <w:sz w:val="21"/>
                <w:szCs w:val="21"/>
              </w:rPr>
              <w:t>2、废水：本项目产生的管线试压废水集中收集与生活污水一起收集后排入斯尔邦石化有限公司污水处理站统一处理后回用；</w:t>
            </w:r>
          </w:p>
          <w:p w14:paraId="6C78BB59">
            <w:pPr>
              <w:snapToGrid w:val="0"/>
              <w:jc w:val="both"/>
              <w:rPr>
                <w:rFonts w:eastAsia="仿宋"/>
                <w:color w:val="auto"/>
                <w:sz w:val="21"/>
                <w:szCs w:val="21"/>
              </w:rPr>
            </w:pPr>
            <w:r>
              <w:rPr>
                <w:rFonts w:hint="eastAsia" w:eastAsia="仿宋"/>
                <w:color w:val="auto"/>
                <w:sz w:val="21"/>
                <w:szCs w:val="21"/>
              </w:rPr>
              <w:t>3、噪声：施工期落实环评要求，严格使用低噪声设备，合理安排施工时间。施工期未出现因噪声污染而产生的投诉事件，噪声防治措施有效；</w:t>
            </w:r>
          </w:p>
          <w:p w14:paraId="1F0164CF">
            <w:pPr>
              <w:snapToGrid w:val="0"/>
              <w:jc w:val="both"/>
              <w:rPr>
                <w:rFonts w:eastAsia="仿宋"/>
                <w:color w:val="auto"/>
                <w:sz w:val="21"/>
                <w:szCs w:val="21"/>
              </w:rPr>
            </w:pPr>
            <w:r>
              <w:rPr>
                <w:rFonts w:hint="eastAsia" w:eastAsia="仿宋"/>
                <w:color w:val="auto"/>
                <w:sz w:val="21"/>
                <w:szCs w:val="21"/>
              </w:rPr>
              <w:t>4、固体废物：施工期间产生少量生活垃圾经收集后由当地环卫部门清运；首次清管作业产生的废渣由施工单位收集后委外处理；建筑垃圾及时清运出场至建筑垃圾回收单位；废油漆桶交由有资质单位处置。</w:t>
            </w:r>
          </w:p>
        </w:tc>
      </w:tr>
      <w:tr w14:paraId="0DF3398E">
        <w:tblPrEx>
          <w:tblCellMar>
            <w:top w:w="0" w:type="dxa"/>
            <w:left w:w="0" w:type="dxa"/>
            <w:bottom w:w="0" w:type="dxa"/>
            <w:right w:w="0" w:type="dxa"/>
          </w:tblCellMar>
        </w:tblPrEx>
        <w:trPr>
          <w:trHeight w:val="925" w:hRule="atLeast"/>
          <w:jc w:val="center"/>
        </w:trPr>
        <w:tc>
          <w:tcPr>
            <w:tcW w:w="627" w:type="dxa"/>
            <w:vMerge w:val="restart"/>
            <w:tcBorders>
              <w:top w:val="single" w:color="000000" w:sz="4" w:space="0"/>
              <w:left w:val="single" w:color="000000" w:sz="4" w:space="0"/>
              <w:bottom w:val="single" w:color="000000" w:sz="4" w:space="0"/>
              <w:right w:val="single" w:color="000000" w:sz="4" w:space="0"/>
            </w:tcBorders>
            <w:vAlign w:val="center"/>
          </w:tcPr>
          <w:p w14:paraId="2DDA832D">
            <w:pPr>
              <w:snapToGrid w:val="0"/>
              <w:jc w:val="center"/>
              <w:rPr>
                <w:rFonts w:eastAsia="仿宋"/>
                <w:color w:val="auto"/>
                <w:sz w:val="21"/>
                <w:szCs w:val="21"/>
              </w:rPr>
            </w:pPr>
            <w:r>
              <w:rPr>
                <w:rFonts w:eastAsia="仿宋"/>
                <w:color w:val="auto"/>
                <w:sz w:val="21"/>
                <w:szCs w:val="21"/>
              </w:rPr>
              <w:t>运</w:t>
            </w:r>
          </w:p>
          <w:p w14:paraId="0BAAC801">
            <w:pPr>
              <w:snapToGrid w:val="0"/>
              <w:jc w:val="center"/>
              <w:rPr>
                <w:rFonts w:eastAsia="仿宋"/>
                <w:color w:val="auto"/>
                <w:sz w:val="21"/>
                <w:szCs w:val="21"/>
              </w:rPr>
            </w:pPr>
            <w:r>
              <w:rPr>
                <w:rFonts w:eastAsia="仿宋"/>
                <w:color w:val="auto"/>
                <w:sz w:val="21"/>
                <w:szCs w:val="21"/>
              </w:rPr>
              <w:t>行</w:t>
            </w:r>
          </w:p>
          <w:p w14:paraId="40615804">
            <w:pPr>
              <w:snapToGrid w:val="0"/>
              <w:jc w:val="center"/>
              <w:rPr>
                <w:rFonts w:eastAsia="仿宋"/>
                <w:color w:val="auto"/>
                <w:sz w:val="21"/>
                <w:szCs w:val="21"/>
              </w:rPr>
            </w:pPr>
            <w:r>
              <w:rPr>
                <w:rFonts w:eastAsia="仿宋"/>
                <w:color w:val="auto"/>
                <w:sz w:val="21"/>
                <w:szCs w:val="21"/>
              </w:rPr>
              <w:t>期</w:t>
            </w:r>
          </w:p>
        </w:tc>
        <w:tc>
          <w:tcPr>
            <w:tcW w:w="1001" w:type="dxa"/>
            <w:tcBorders>
              <w:top w:val="single" w:color="000000" w:sz="4" w:space="0"/>
              <w:left w:val="single" w:color="000000" w:sz="4" w:space="0"/>
              <w:bottom w:val="single" w:color="000000" w:sz="4" w:space="0"/>
              <w:right w:val="single" w:color="000000" w:sz="4" w:space="0"/>
            </w:tcBorders>
            <w:vAlign w:val="center"/>
          </w:tcPr>
          <w:p w14:paraId="484617C4">
            <w:pPr>
              <w:snapToGrid w:val="0"/>
              <w:jc w:val="center"/>
              <w:rPr>
                <w:rFonts w:eastAsia="仿宋"/>
                <w:color w:val="auto"/>
                <w:sz w:val="21"/>
                <w:szCs w:val="21"/>
              </w:rPr>
            </w:pPr>
            <w:r>
              <w:rPr>
                <w:rFonts w:eastAsia="仿宋"/>
                <w:color w:val="auto"/>
                <w:sz w:val="21"/>
                <w:szCs w:val="21"/>
              </w:rPr>
              <w:t>生态影响</w:t>
            </w:r>
          </w:p>
        </w:tc>
        <w:tc>
          <w:tcPr>
            <w:tcW w:w="7443" w:type="dxa"/>
            <w:tcBorders>
              <w:top w:val="single" w:color="000000" w:sz="4" w:space="0"/>
              <w:left w:val="single" w:color="000000" w:sz="4" w:space="0"/>
              <w:bottom w:val="single" w:color="000000" w:sz="4" w:space="0"/>
              <w:right w:val="single" w:color="000000" w:sz="4" w:space="0"/>
            </w:tcBorders>
            <w:vAlign w:val="center"/>
          </w:tcPr>
          <w:p w14:paraId="4CDCB145">
            <w:pPr>
              <w:snapToGrid w:val="0"/>
              <w:jc w:val="both"/>
              <w:rPr>
                <w:rFonts w:eastAsia="仿宋"/>
                <w:color w:val="auto"/>
                <w:sz w:val="21"/>
                <w:szCs w:val="21"/>
              </w:rPr>
            </w:pPr>
            <w:r>
              <w:rPr>
                <w:rFonts w:hint="eastAsia" w:eastAsia="仿宋"/>
                <w:color w:val="auto"/>
                <w:sz w:val="21"/>
                <w:szCs w:val="21"/>
              </w:rPr>
              <w:t>营运期间</w:t>
            </w:r>
            <w:r>
              <w:rPr>
                <w:rFonts w:eastAsia="仿宋"/>
                <w:color w:val="auto"/>
                <w:sz w:val="21"/>
                <w:szCs w:val="21"/>
              </w:rPr>
              <w:t>正常情况下不涉及生态环境影响。</w:t>
            </w:r>
          </w:p>
          <w:p w14:paraId="701D175C">
            <w:pPr>
              <w:snapToGrid w:val="0"/>
              <w:jc w:val="both"/>
              <w:rPr>
                <w:rFonts w:eastAsia="仿宋"/>
                <w:color w:val="auto"/>
                <w:sz w:val="21"/>
                <w:szCs w:val="21"/>
              </w:rPr>
            </w:pPr>
            <w:r>
              <w:rPr>
                <w:rFonts w:hint="eastAsia" w:eastAsia="仿宋"/>
                <w:color w:val="auto"/>
                <w:sz w:val="21"/>
                <w:szCs w:val="21"/>
              </w:rPr>
              <w:t>环境</w:t>
            </w:r>
            <w:r>
              <w:rPr>
                <w:rFonts w:eastAsia="仿宋"/>
                <w:color w:val="auto"/>
                <w:sz w:val="21"/>
                <w:szCs w:val="21"/>
              </w:rPr>
              <w:t>风险防范：</w:t>
            </w:r>
            <w:r>
              <w:rPr>
                <w:rFonts w:hint="eastAsia" w:eastAsia="仿宋"/>
                <w:color w:val="auto"/>
                <w:sz w:val="21"/>
                <w:szCs w:val="21"/>
              </w:rPr>
              <w:t>项目营运期建设单位将本次管线项目纳入企业应急预案并定期演练；公司调度室负责管线巡视；做好与园区及相关企业安全环境应急联动。</w:t>
            </w:r>
          </w:p>
        </w:tc>
      </w:tr>
      <w:tr w14:paraId="25EF2E8C">
        <w:tblPrEx>
          <w:tblCellMar>
            <w:top w:w="0" w:type="dxa"/>
            <w:left w:w="0" w:type="dxa"/>
            <w:bottom w:w="0" w:type="dxa"/>
            <w:right w:w="0" w:type="dxa"/>
          </w:tblCellMar>
        </w:tblPrEx>
        <w:trPr>
          <w:trHeight w:val="1367" w:hRule="atLeast"/>
          <w:jc w:val="center"/>
        </w:trPr>
        <w:tc>
          <w:tcPr>
            <w:tcW w:w="627" w:type="dxa"/>
            <w:vMerge w:val="continue"/>
            <w:tcBorders>
              <w:top w:val="single" w:color="000000" w:sz="4" w:space="0"/>
              <w:left w:val="single" w:color="000000" w:sz="4" w:space="0"/>
              <w:bottom w:val="single" w:color="000000" w:sz="4" w:space="0"/>
              <w:right w:val="single" w:color="000000" w:sz="4" w:space="0"/>
            </w:tcBorders>
            <w:vAlign w:val="center"/>
          </w:tcPr>
          <w:p w14:paraId="302C6CCE">
            <w:pPr>
              <w:snapToGrid w:val="0"/>
              <w:jc w:val="center"/>
              <w:rPr>
                <w:rFonts w:eastAsia="仿宋"/>
                <w:color w:val="auto"/>
                <w:sz w:val="21"/>
                <w:szCs w:val="21"/>
              </w:rPr>
            </w:pPr>
          </w:p>
        </w:tc>
        <w:tc>
          <w:tcPr>
            <w:tcW w:w="1001" w:type="dxa"/>
            <w:tcBorders>
              <w:top w:val="single" w:color="000000" w:sz="4" w:space="0"/>
              <w:left w:val="single" w:color="000000" w:sz="4" w:space="0"/>
              <w:bottom w:val="single" w:color="000000" w:sz="4" w:space="0"/>
              <w:right w:val="single" w:color="000000" w:sz="4" w:space="0"/>
            </w:tcBorders>
            <w:vAlign w:val="center"/>
          </w:tcPr>
          <w:p w14:paraId="4217C2C2">
            <w:pPr>
              <w:snapToGrid w:val="0"/>
              <w:jc w:val="center"/>
              <w:rPr>
                <w:rFonts w:eastAsia="仿宋"/>
                <w:color w:val="auto"/>
                <w:sz w:val="21"/>
                <w:szCs w:val="21"/>
              </w:rPr>
            </w:pPr>
            <w:r>
              <w:rPr>
                <w:rFonts w:eastAsia="仿宋"/>
                <w:color w:val="auto"/>
                <w:sz w:val="21"/>
                <w:szCs w:val="21"/>
              </w:rPr>
              <w:t>污染影响</w:t>
            </w:r>
          </w:p>
        </w:tc>
        <w:tc>
          <w:tcPr>
            <w:tcW w:w="7443" w:type="dxa"/>
            <w:tcBorders>
              <w:top w:val="single" w:color="000000" w:sz="4" w:space="0"/>
              <w:left w:val="single" w:color="000000" w:sz="4" w:space="0"/>
              <w:bottom w:val="single" w:color="000000" w:sz="4" w:space="0"/>
              <w:right w:val="single" w:color="000000" w:sz="4" w:space="0"/>
            </w:tcBorders>
            <w:vAlign w:val="center"/>
          </w:tcPr>
          <w:p w14:paraId="56924A84">
            <w:pPr>
              <w:snapToGrid w:val="0"/>
              <w:jc w:val="both"/>
              <w:rPr>
                <w:rFonts w:hint="eastAsia" w:eastAsia="仿宋"/>
                <w:color w:val="auto"/>
                <w:sz w:val="21"/>
                <w:szCs w:val="21"/>
                <w:lang w:val="en-US" w:eastAsia="zh-CN"/>
              </w:rPr>
            </w:pPr>
            <w:r>
              <w:rPr>
                <w:rFonts w:hint="eastAsia" w:eastAsia="仿宋"/>
                <w:color w:val="auto"/>
                <w:sz w:val="21"/>
                <w:szCs w:val="21"/>
                <w:lang w:val="en-US" w:eastAsia="zh-CN"/>
              </w:rPr>
              <w:t>项目检修等非正常工况下乙二醇吹扫废气经现有“催化氧化”处理后，通过15m排气筒排放；丙酮吹扫废气经现有“催化氧化+碱洗”处理后，通过15m排气筒排放；丁烷废气吹扫废气送往现有火炬系统焚烧处理后排空。新增管道检修及扫线废弃物暂存依托荣泰仓储厂内危废暂存库（占地面积250m</w:t>
            </w:r>
            <w:r>
              <w:rPr>
                <w:rFonts w:hint="eastAsia" w:eastAsia="仿宋"/>
                <w:color w:val="auto"/>
                <w:sz w:val="21"/>
                <w:szCs w:val="21"/>
                <w:vertAlign w:val="superscript"/>
                <w:lang w:val="en-US" w:eastAsia="zh-CN"/>
              </w:rPr>
              <w:t>2</w:t>
            </w:r>
            <w:r>
              <w:rPr>
                <w:rFonts w:hint="eastAsia" w:eastAsia="仿宋"/>
                <w:color w:val="auto"/>
                <w:sz w:val="21"/>
                <w:szCs w:val="21"/>
                <w:lang w:val="en-US" w:eastAsia="zh-CN"/>
              </w:rPr>
              <w:t>），并委托有资质单位处置。</w:t>
            </w:r>
          </w:p>
          <w:p w14:paraId="65C94E3D">
            <w:pPr>
              <w:snapToGrid w:val="0"/>
              <w:jc w:val="both"/>
              <w:rPr>
                <w:color w:val="auto"/>
              </w:rPr>
            </w:pPr>
            <w:r>
              <w:rPr>
                <w:rFonts w:hint="eastAsia" w:eastAsia="仿宋"/>
                <w:color w:val="auto"/>
                <w:sz w:val="21"/>
                <w:szCs w:val="21"/>
              </w:rPr>
              <w:t>营运期正常情况下无</w:t>
            </w:r>
            <w:r>
              <w:rPr>
                <w:rFonts w:hint="eastAsia" w:eastAsia="仿宋"/>
                <w:color w:val="auto"/>
                <w:sz w:val="21"/>
                <w:szCs w:val="21"/>
                <w:lang w:val="en-US" w:eastAsia="zh-CN"/>
              </w:rPr>
              <w:t>废水、</w:t>
            </w:r>
            <w:r>
              <w:rPr>
                <w:rFonts w:hint="eastAsia" w:eastAsia="仿宋"/>
                <w:color w:val="auto"/>
                <w:sz w:val="21"/>
                <w:szCs w:val="21"/>
              </w:rPr>
              <w:t>噪声</w:t>
            </w:r>
            <w:r>
              <w:rPr>
                <w:rFonts w:hint="eastAsia" w:eastAsia="仿宋"/>
                <w:color w:val="auto"/>
                <w:sz w:val="21"/>
                <w:szCs w:val="21"/>
                <w:lang w:eastAsia="zh-CN"/>
              </w:rPr>
              <w:t>、</w:t>
            </w:r>
            <w:r>
              <w:rPr>
                <w:rFonts w:hint="eastAsia" w:eastAsia="仿宋"/>
                <w:color w:val="auto"/>
                <w:sz w:val="21"/>
                <w:szCs w:val="21"/>
              </w:rPr>
              <w:t>固体废物排放，</w:t>
            </w:r>
            <w:r>
              <w:rPr>
                <w:rFonts w:hint="eastAsia" w:eastAsia="仿宋"/>
                <w:color w:val="auto"/>
                <w:sz w:val="21"/>
                <w:szCs w:val="21"/>
                <w:lang w:val="en-US" w:eastAsia="zh-CN"/>
              </w:rPr>
              <w:t>仅产生少量无组织废气，</w:t>
            </w:r>
            <w:r>
              <w:rPr>
                <w:rFonts w:hint="eastAsia" w:eastAsia="仿宋"/>
                <w:color w:val="auto"/>
                <w:sz w:val="21"/>
                <w:szCs w:val="21"/>
              </w:rPr>
              <w:t>对周围环境影响</w:t>
            </w:r>
            <w:r>
              <w:rPr>
                <w:rFonts w:hint="eastAsia" w:eastAsia="仿宋"/>
                <w:color w:val="auto"/>
                <w:sz w:val="21"/>
                <w:szCs w:val="21"/>
                <w:lang w:val="en-US" w:eastAsia="zh-CN"/>
              </w:rPr>
              <w:t>较小</w:t>
            </w:r>
            <w:r>
              <w:rPr>
                <w:rFonts w:hint="eastAsia" w:eastAsia="仿宋"/>
                <w:color w:val="auto"/>
                <w:sz w:val="21"/>
                <w:szCs w:val="21"/>
              </w:rPr>
              <w:t>。</w:t>
            </w:r>
          </w:p>
        </w:tc>
      </w:tr>
    </w:tbl>
    <w:p w14:paraId="1CA1167F">
      <w:pPr>
        <w:rPr>
          <w:color w:val="auto"/>
        </w:rPr>
      </w:pPr>
      <w:r>
        <w:rPr>
          <w:color w:val="auto"/>
        </w:rPr>
        <w:br w:type="page"/>
      </w:r>
    </w:p>
    <w:p w14:paraId="37FEBD41">
      <w:pPr>
        <w:pStyle w:val="4"/>
        <w:kinsoku w:val="0"/>
        <w:overflowPunct w:val="0"/>
        <w:spacing w:before="168"/>
        <w:ind w:left="0" w:right="255"/>
        <w:outlineLvl w:val="0"/>
        <w:rPr>
          <w:rFonts w:ascii="Times New Roman" w:eastAsia="仿宋" w:cs="Times New Roman"/>
          <w:b/>
          <w:bCs/>
          <w:color w:val="auto"/>
          <w:sz w:val="24"/>
          <w:szCs w:val="24"/>
        </w:rPr>
      </w:pPr>
      <w:r>
        <w:rPr>
          <w:rFonts w:ascii="Times New Roman" w:eastAsia="仿宋" w:cs="Times New Roman"/>
          <w:b/>
          <w:bCs/>
          <w:color w:val="auto"/>
          <w:sz w:val="24"/>
          <w:szCs w:val="24"/>
        </w:rPr>
        <w:t>表8  环境质量及污染源监测</w:t>
      </w:r>
    </w:p>
    <w:tbl>
      <w:tblPr>
        <w:tblStyle w:val="7"/>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48"/>
        <w:gridCol w:w="1980"/>
        <w:gridCol w:w="1981"/>
        <w:gridCol w:w="1981"/>
        <w:gridCol w:w="1981"/>
      </w:tblGrid>
      <w:tr w14:paraId="5E1FE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8" w:hRule="exact"/>
        </w:trPr>
        <w:tc>
          <w:tcPr>
            <w:tcW w:w="1148" w:type="dxa"/>
            <w:vAlign w:val="center"/>
          </w:tcPr>
          <w:p w14:paraId="7A7F86B4">
            <w:pPr>
              <w:snapToGrid w:val="0"/>
              <w:jc w:val="center"/>
              <w:rPr>
                <w:rFonts w:eastAsia="仿宋"/>
                <w:color w:val="auto"/>
                <w:sz w:val="21"/>
                <w:szCs w:val="21"/>
              </w:rPr>
            </w:pPr>
            <w:r>
              <w:rPr>
                <w:rFonts w:eastAsia="仿宋"/>
                <w:color w:val="auto"/>
                <w:sz w:val="21"/>
                <w:szCs w:val="21"/>
              </w:rPr>
              <w:t>项目</w:t>
            </w:r>
          </w:p>
        </w:tc>
        <w:tc>
          <w:tcPr>
            <w:tcW w:w="1980" w:type="dxa"/>
            <w:vAlign w:val="center"/>
          </w:tcPr>
          <w:p w14:paraId="4B996E49">
            <w:pPr>
              <w:snapToGrid w:val="0"/>
              <w:jc w:val="center"/>
              <w:rPr>
                <w:rFonts w:eastAsia="仿宋"/>
                <w:color w:val="auto"/>
                <w:sz w:val="21"/>
                <w:szCs w:val="21"/>
              </w:rPr>
            </w:pPr>
            <w:r>
              <w:rPr>
                <w:rFonts w:eastAsia="仿宋"/>
                <w:color w:val="auto"/>
                <w:sz w:val="21"/>
                <w:szCs w:val="21"/>
              </w:rPr>
              <w:t>监测时间</w:t>
            </w:r>
          </w:p>
          <w:p w14:paraId="0B47869D">
            <w:pPr>
              <w:snapToGrid w:val="0"/>
              <w:jc w:val="center"/>
              <w:rPr>
                <w:rFonts w:eastAsia="仿宋"/>
                <w:color w:val="auto"/>
                <w:sz w:val="21"/>
                <w:szCs w:val="21"/>
              </w:rPr>
            </w:pPr>
            <w:r>
              <w:rPr>
                <w:rFonts w:eastAsia="仿宋"/>
                <w:color w:val="auto"/>
                <w:sz w:val="21"/>
                <w:szCs w:val="21"/>
              </w:rPr>
              <w:t>监测频次</w:t>
            </w:r>
          </w:p>
        </w:tc>
        <w:tc>
          <w:tcPr>
            <w:tcW w:w="1981" w:type="dxa"/>
            <w:vAlign w:val="center"/>
          </w:tcPr>
          <w:p w14:paraId="6F694EAB">
            <w:pPr>
              <w:snapToGrid w:val="0"/>
              <w:jc w:val="center"/>
              <w:rPr>
                <w:rFonts w:eastAsia="仿宋"/>
                <w:color w:val="auto"/>
                <w:sz w:val="21"/>
                <w:szCs w:val="21"/>
              </w:rPr>
            </w:pPr>
            <w:r>
              <w:rPr>
                <w:rFonts w:eastAsia="仿宋"/>
                <w:color w:val="auto"/>
                <w:sz w:val="21"/>
                <w:szCs w:val="21"/>
              </w:rPr>
              <w:t>监测点位</w:t>
            </w:r>
          </w:p>
        </w:tc>
        <w:tc>
          <w:tcPr>
            <w:tcW w:w="1981" w:type="dxa"/>
            <w:vAlign w:val="center"/>
          </w:tcPr>
          <w:p w14:paraId="2D47D343">
            <w:pPr>
              <w:snapToGrid w:val="0"/>
              <w:jc w:val="center"/>
              <w:rPr>
                <w:rFonts w:eastAsia="仿宋"/>
                <w:color w:val="auto"/>
                <w:sz w:val="21"/>
                <w:szCs w:val="21"/>
              </w:rPr>
            </w:pPr>
            <w:r>
              <w:rPr>
                <w:rFonts w:eastAsia="仿宋"/>
                <w:color w:val="auto"/>
                <w:sz w:val="21"/>
                <w:szCs w:val="21"/>
              </w:rPr>
              <w:t>监测项目</w:t>
            </w:r>
          </w:p>
        </w:tc>
        <w:tc>
          <w:tcPr>
            <w:tcW w:w="1981" w:type="dxa"/>
            <w:vAlign w:val="center"/>
          </w:tcPr>
          <w:p w14:paraId="3CA9C1A8">
            <w:pPr>
              <w:snapToGrid w:val="0"/>
              <w:jc w:val="center"/>
              <w:rPr>
                <w:rFonts w:eastAsia="仿宋"/>
                <w:color w:val="auto"/>
                <w:sz w:val="21"/>
                <w:szCs w:val="21"/>
              </w:rPr>
            </w:pPr>
            <w:r>
              <w:rPr>
                <w:rFonts w:eastAsia="仿宋"/>
                <w:color w:val="auto"/>
                <w:sz w:val="21"/>
                <w:szCs w:val="21"/>
              </w:rPr>
              <w:t>监测结果分析</w:t>
            </w:r>
          </w:p>
        </w:tc>
      </w:tr>
      <w:tr w14:paraId="78061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exact"/>
        </w:trPr>
        <w:tc>
          <w:tcPr>
            <w:tcW w:w="1148" w:type="dxa"/>
            <w:vAlign w:val="center"/>
          </w:tcPr>
          <w:p w14:paraId="0F8DC913">
            <w:pPr>
              <w:snapToGrid w:val="0"/>
              <w:jc w:val="center"/>
              <w:rPr>
                <w:rFonts w:eastAsia="仿宋"/>
                <w:color w:val="auto"/>
                <w:sz w:val="21"/>
                <w:szCs w:val="21"/>
              </w:rPr>
            </w:pPr>
            <w:r>
              <w:rPr>
                <w:rFonts w:eastAsia="仿宋"/>
                <w:color w:val="auto"/>
                <w:sz w:val="21"/>
                <w:szCs w:val="21"/>
              </w:rPr>
              <w:t>生态</w:t>
            </w:r>
          </w:p>
        </w:tc>
        <w:tc>
          <w:tcPr>
            <w:tcW w:w="1980" w:type="dxa"/>
            <w:vAlign w:val="center"/>
          </w:tcPr>
          <w:p w14:paraId="0D51E405">
            <w:pPr>
              <w:snapToGrid w:val="0"/>
              <w:jc w:val="center"/>
              <w:rPr>
                <w:rFonts w:eastAsia="仿宋"/>
                <w:color w:val="auto"/>
                <w:sz w:val="21"/>
                <w:szCs w:val="21"/>
              </w:rPr>
            </w:pPr>
            <w:r>
              <w:rPr>
                <w:rFonts w:hint="eastAsia" w:eastAsia="仿宋"/>
                <w:color w:val="auto"/>
                <w:sz w:val="21"/>
                <w:szCs w:val="21"/>
              </w:rPr>
              <w:t>-</w:t>
            </w:r>
          </w:p>
        </w:tc>
        <w:tc>
          <w:tcPr>
            <w:tcW w:w="1981" w:type="dxa"/>
            <w:vAlign w:val="center"/>
          </w:tcPr>
          <w:p w14:paraId="0F3F2001">
            <w:pPr>
              <w:snapToGrid w:val="0"/>
              <w:jc w:val="center"/>
              <w:rPr>
                <w:rFonts w:eastAsia="仿宋"/>
                <w:color w:val="auto"/>
                <w:sz w:val="21"/>
                <w:szCs w:val="21"/>
              </w:rPr>
            </w:pPr>
            <w:r>
              <w:rPr>
                <w:rFonts w:hint="eastAsia" w:eastAsia="仿宋"/>
                <w:color w:val="auto"/>
                <w:sz w:val="21"/>
                <w:szCs w:val="21"/>
              </w:rPr>
              <w:t>-</w:t>
            </w:r>
          </w:p>
        </w:tc>
        <w:tc>
          <w:tcPr>
            <w:tcW w:w="1981" w:type="dxa"/>
            <w:vAlign w:val="center"/>
          </w:tcPr>
          <w:p w14:paraId="79FDDE2A">
            <w:pPr>
              <w:snapToGrid w:val="0"/>
              <w:jc w:val="center"/>
              <w:rPr>
                <w:rFonts w:eastAsia="仿宋"/>
                <w:color w:val="auto"/>
                <w:sz w:val="21"/>
                <w:szCs w:val="21"/>
              </w:rPr>
            </w:pPr>
            <w:r>
              <w:rPr>
                <w:rFonts w:hint="eastAsia" w:eastAsia="仿宋"/>
                <w:color w:val="auto"/>
                <w:sz w:val="21"/>
                <w:szCs w:val="21"/>
              </w:rPr>
              <w:t>-</w:t>
            </w:r>
          </w:p>
        </w:tc>
        <w:tc>
          <w:tcPr>
            <w:tcW w:w="1981" w:type="dxa"/>
            <w:vAlign w:val="center"/>
          </w:tcPr>
          <w:p w14:paraId="55EF46C2">
            <w:pPr>
              <w:snapToGrid w:val="0"/>
              <w:jc w:val="center"/>
              <w:rPr>
                <w:rFonts w:eastAsia="仿宋"/>
                <w:color w:val="auto"/>
                <w:sz w:val="21"/>
                <w:szCs w:val="21"/>
              </w:rPr>
            </w:pPr>
            <w:r>
              <w:rPr>
                <w:rFonts w:hint="eastAsia" w:eastAsia="仿宋"/>
                <w:color w:val="auto"/>
                <w:sz w:val="21"/>
                <w:szCs w:val="21"/>
              </w:rPr>
              <w:t>-</w:t>
            </w:r>
          </w:p>
        </w:tc>
      </w:tr>
      <w:tr w14:paraId="17FDD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exact"/>
        </w:trPr>
        <w:tc>
          <w:tcPr>
            <w:tcW w:w="1148" w:type="dxa"/>
            <w:vAlign w:val="center"/>
          </w:tcPr>
          <w:p w14:paraId="4C26298C">
            <w:pPr>
              <w:snapToGrid w:val="0"/>
              <w:jc w:val="center"/>
              <w:rPr>
                <w:rFonts w:eastAsia="仿宋"/>
                <w:color w:val="auto"/>
                <w:sz w:val="21"/>
                <w:szCs w:val="21"/>
              </w:rPr>
            </w:pPr>
            <w:r>
              <w:rPr>
                <w:rFonts w:eastAsia="仿宋"/>
                <w:color w:val="auto"/>
                <w:sz w:val="21"/>
                <w:szCs w:val="21"/>
              </w:rPr>
              <w:t>水</w:t>
            </w:r>
          </w:p>
        </w:tc>
        <w:tc>
          <w:tcPr>
            <w:tcW w:w="1980" w:type="dxa"/>
            <w:vAlign w:val="center"/>
          </w:tcPr>
          <w:p w14:paraId="533F4C14">
            <w:pPr>
              <w:snapToGrid w:val="0"/>
              <w:jc w:val="center"/>
              <w:rPr>
                <w:rFonts w:eastAsia="仿宋"/>
                <w:color w:val="auto"/>
                <w:sz w:val="21"/>
                <w:szCs w:val="21"/>
              </w:rPr>
            </w:pPr>
            <w:r>
              <w:rPr>
                <w:rFonts w:hint="eastAsia" w:eastAsia="仿宋"/>
                <w:color w:val="auto"/>
                <w:sz w:val="21"/>
                <w:szCs w:val="21"/>
              </w:rPr>
              <w:t>-</w:t>
            </w:r>
          </w:p>
        </w:tc>
        <w:tc>
          <w:tcPr>
            <w:tcW w:w="1981" w:type="dxa"/>
            <w:vAlign w:val="center"/>
          </w:tcPr>
          <w:p w14:paraId="7EED6203">
            <w:pPr>
              <w:snapToGrid w:val="0"/>
              <w:jc w:val="center"/>
              <w:rPr>
                <w:rFonts w:eastAsia="仿宋"/>
                <w:color w:val="auto"/>
                <w:sz w:val="21"/>
                <w:szCs w:val="21"/>
              </w:rPr>
            </w:pPr>
            <w:r>
              <w:rPr>
                <w:rFonts w:hint="eastAsia" w:eastAsia="仿宋"/>
                <w:color w:val="auto"/>
                <w:sz w:val="21"/>
                <w:szCs w:val="21"/>
              </w:rPr>
              <w:t>-</w:t>
            </w:r>
          </w:p>
        </w:tc>
        <w:tc>
          <w:tcPr>
            <w:tcW w:w="1981" w:type="dxa"/>
            <w:vAlign w:val="center"/>
          </w:tcPr>
          <w:p w14:paraId="1121A1D7">
            <w:pPr>
              <w:snapToGrid w:val="0"/>
              <w:jc w:val="center"/>
              <w:rPr>
                <w:rFonts w:eastAsia="仿宋"/>
                <w:color w:val="auto"/>
                <w:sz w:val="21"/>
                <w:szCs w:val="21"/>
              </w:rPr>
            </w:pPr>
            <w:r>
              <w:rPr>
                <w:rFonts w:hint="eastAsia" w:eastAsia="仿宋"/>
                <w:color w:val="auto"/>
                <w:sz w:val="21"/>
                <w:szCs w:val="21"/>
              </w:rPr>
              <w:t>-</w:t>
            </w:r>
          </w:p>
        </w:tc>
        <w:tc>
          <w:tcPr>
            <w:tcW w:w="1981" w:type="dxa"/>
            <w:vAlign w:val="center"/>
          </w:tcPr>
          <w:p w14:paraId="28E60C9C">
            <w:pPr>
              <w:snapToGrid w:val="0"/>
              <w:jc w:val="center"/>
              <w:rPr>
                <w:rFonts w:eastAsia="仿宋"/>
                <w:color w:val="auto"/>
                <w:sz w:val="21"/>
                <w:szCs w:val="21"/>
              </w:rPr>
            </w:pPr>
            <w:r>
              <w:rPr>
                <w:rFonts w:hint="eastAsia" w:eastAsia="仿宋"/>
                <w:color w:val="auto"/>
                <w:sz w:val="21"/>
                <w:szCs w:val="21"/>
              </w:rPr>
              <w:t>-</w:t>
            </w:r>
          </w:p>
        </w:tc>
      </w:tr>
      <w:tr w14:paraId="174C7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exact"/>
        </w:trPr>
        <w:tc>
          <w:tcPr>
            <w:tcW w:w="1148" w:type="dxa"/>
            <w:vAlign w:val="center"/>
          </w:tcPr>
          <w:p w14:paraId="61E9A874">
            <w:pPr>
              <w:snapToGrid w:val="0"/>
              <w:jc w:val="center"/>
              <w:rPr>
                <w:rFonts w:eastAsia="仿宋"/>
                <w:color w:val="auto"/>
                <w:sz w:val="21"/>
                <w:szCs w:val="21"/>
              </w:rPr>
            </w:pPr>
            <w:r>
              <w:rPr>
                <w:rFonts w:eastAsia="仿宋"/>
                <w:color w:val="auto"/>
                <w:sz w:val="21"/>
                <w:szCs w:val="21"/>
              </w:rPr>
              <w:t>气</w:t>
            </w:r>
          </w:p>
        </w:tc>
        <w:tc>
          <w:tcPr>
            <w:tcW w:w="1980" w:type="dxa"/>
            <w:vAlign w:val="center"/>
          </w:tcPr>
          <w:p w14:paraId="435D8548">
            <w:pPr>
              <w:snapToGrid w:val="0"/>
              <w:jc w:val="center"/>
              <w:rPr>
                <w:rFonts w:eastAsia="仿宋"/>
                <w:color w:val="auto"/>
                <w:sz w:val="21"/>
                <w:szCs w:val="21"/>
              </w:rPr>
            </w:pPr>
            <w:r>
              <w:rPr>
                <w:rFonts w:hint="eastAsia" w:eastAsia="仿宋"/>
                <w:color w:val="auto"/>
                <w:sz w:val="21"/>
                <w:szCs w:val="21"/>
              </w:rPr>
              <w:t>-</w:t>
            </w:r>
          </w:p>
        </w:tc>
        <w:tc>
          <w:tcPr>
            <w:tcW w:w="1981" w:type="dxa"/>
            <w:vAlign w:val="center"/>
          </w:tcPr>
          <w:p w14:paraId="2EDFECCA">
            <w:pPr>
              <w:snapToGrid w:val="0"/>
              <w:jc w:val="center"/>
              <w:rPr>
                <w:rFonts w:eastAsia="仿宋"/>
                <w:color w:val="auto"/>
                <w:sz w:val="21"/>
                <w:szCs w:val="21"/>
              </w:rPr>
            </w:pPr>
            <w:r>
              <w:rPr>
                <w:rFonts w:hint="eastAsia" w:eastAsia="仿宋"/>
                <w:color w:val="auto"/>
                <w:sz w:val="21"/>
                <w:szCs w:val="21"/>
              </w:rPr>
              <w:t>-</w:t>
            </w:r>
          </w:p>
        </w:tc>
        <w:tc>
          <w:tcPr>
            <w:tcW w:w="1981" w:type="dxa"/>
            <w:vAlign w:val="center"/>
          </w:tcPr>
          <w:p w14:paraId="1E5D068B">
            <w:pPr>
              <w:snapToGrid w:val="0"/>
              <w:jc w:val="center"/>
              <w:rPr>
                <w:rFonts w:eastAsia="仿宋"/>
                <w:color w:val="auto"/>
                <w:sz w:val="21"/>
                <w:szCs w:val="21"/>
              </w:rPr>
            </w:pPr>
            <w:r>
              <w:rPr>
                <w:rFonts w:hint="eastAsia" w:eastAsia="仿宋"/>
                <w:color w:val="auto"/>
                <w:sz w:val="21"/>
                <w:szCs w:val="21"/>
              </w:rPr>
              <w:t>-</w:t>
            </w:r>
          </w:p>
        </w:tc>
        <w:tc>
          <w:tcPr>
            <w:tcW w:w="1981" w:type="dxa"/>
            <w:vAlign w:val="center"/>
          </w:tcPr>
          <w:p w14:paraId="5603757C">
            <w:pPr>
              <w:snapToGrid w:val="0"/>
              <w:jc w:val="center"/>
              <w:rPr>
                <w:rFonts w:eastAsia="仿宋"/>
                <w:color w:val="auto"/>
                <w:sz w:val="21"/>
                <w:szCs w:val="21"/>
              </w:rPr>
            </w:pPr>
            <w:r>
              <w:rPr>
                <w:rFonts w:hint="eastAsia" w:eastAsia="仿宋"/>
                <w:color w:val="auto"/>
                <w:sz w:val="21"/>
                <w:szCs w:val="21"/>
              </w:rPr>
              <w:t>-</w:t>
            </w:r>
          </w:p>
        </w:tc>
      </w:tr>
      <w:tr w14:paraId="476BB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exact"/>
        </w:trPr>
        <w:tc>
          <w:tcPr>
            <w:tcW w:w="1148" w:type="dxa"/>
            <w:vAlign w:val="center"/>
          </w:tcPr>
          <w:p w14:paraId="09DAE4DA">
            <w:pPr>
              <w:snapToGrid w:val="0"/>
              <w:jc w:val="center"/>
              <w:rPr>
                <w:rFonts w:eastAsia="仿宋"/>
                <w:color w:val="auto"/>
                <w:sz w:val="21"/>
                <w:szCs w:val="21"/>
              </w:rPr>
            </w:pPr>
            <w:r>
              <w:rPr>
                <w:rFonts w:eastAsia="仿宋"/>
                <w:color w:val="auto"/>
                <w:sz w:val="21"/>
                <w:szCs w:val="21"/>
              </w:rPr>
              <w:t>声</w:t>
            </w:r>
          </w:p>
        </w:tc>
        <w:tc>
          <w:tcPr>
            <w:tcW w:w="1980" w:type="dxa"/>
            <w:vAlign w:val="center"/>
          </w:tcPr>
          <w:p w14:paraId="2CCC11D4">
            <w:pPr>
              <w:snapToGrid w:val="0"/>
              <w:jc w:val="center"/>
              <w:rPr>
                <w:rFonts w:eastAsia="仿宋"/>
                <w:color w:val="auto"/>
                <w:sz w:val="21"/>
                <w:szCs w:val="21"/>
              </w:rPr>
            </w:pPr>
            <w:r>
              <w:rPr>
                <w:rFonts w:hint="eastAsia" w:eastAsia="仿宋"/>
                <w:color w:val="auto"/>
                <w:sz w:val="21"/>
                <w:szCs w:val="21"/>
              </w:rPr>
              <w:t>-</w:t>
            </w:r>
          </w:p>
        </w:tc>
        <w:tc>
          <w:tcPr>
            <w:tcW w:w="1981" w:type="dxa"/>
            <w:vAlign w:val="center"/>
          </w:tcPr>
          <w:p w14:paraId="1123D2B7">
            <w:pPr>
              <w:snapToGrid w:val="0"/>
              <w:jc w:val="center"/>
              <w:rPr>
                <w:rFonts w:eastAsia="仿宋"/>
                <w:color w:val="auto"/>
                <w:sz w:val="21"/>
                <w:szCs w:val="21"/>
              </w:rPr>
            </w:pPr>
            <w:r>
              <w:rPr>
                <w:rFonts w:hint="eastAsia" w:eastAsia="仿宋"/>
                <w:color w:val="auto"/>
                <w:sz w:val="21"/>
                <w:szCs w:val="21"/>
              </w:rPr>
              <w:t>-</w:t>
            </w:r>
          </w:p>
        </w:tc>
        <w:tc>
          <w:tcPr>
            <w:tcW w:w="1981" w:type="dxa"/>
            <w:vAlign w:val="center"/>
          </w:tcPr>
          <w:p w14:paraId="11B37858">
            <w:pPr>
              <w:snapToGrid w:val="0"/>
              <w:jc w:val="center"/>
              <w:rPr>
                <w:rFonts w:eastAsia="仿宋"/>
                <w:color w:val="auto"/>
                <w:sz w:val="21"/>
                <w:szCs w:val="21"/>
              </w:rPr>
            </w:pPr>
            <w:r>
              <w:rPr>
                <w:rFonts w:hint="eastAsia" w:eastAsia="仿宋"/>
                <w:color w:val="auto"/>
                <w:sz w:val="21"/>
                <w:szCs w:val="21"/>
              </w:rPr>
              <w:t>-</w:t>
            </w:r>
          </w:p>
        </w:tc>
        <w:tc>
          <w:tcPr>
            <w:tcW w:w="1981" w:type="dxa"/>
            <w:vAlign w:val="center"/>
          </w:tcPr>
          <w:p w14:paraId="067BC500">
            <w:pPr>
              <w:snapToGrid w:val="0"/>
              <w:jc w:val="center"/>
              <w:rPr>
                <w:rFonts w:eastAsia="仿宋"/>
                <w:color w:val="auto"/>
                <w:sz w:val="21"/>
                <w:szCs w:val="21"/>
              </w:rPr>
            </w:pPr>
            <w:r>
              <w:rPr>
                <w:rFonts w:hint="eastAsia" w:eastAsia="仿宋"/>
                <w:color w:val="auto"/>
                <w:sz w:val="21"/>
                <w:szCs w:val="21"/>
              </w:rPr>
              <w:t>-</w:t>
            </w:r>
          </w:p>
        </w:tc>
      </w:tr>
      <w:tr w14:paraId="674F7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exact"/>
        </w:trPr>
        <w:tc>
          <w:tcPr>
            <w:tcW w:w="1148" w:type="dxa"/>
            <w:vAlign w:val="center"/>
          </w:tcPr>
          <w:p w14:paraId="739F5FB0">
            <w:pPr>
              <w:snapToGrid w:val="0"/>
              <w:jc w:val="center"/>
              <w:rPr>
                <w:rFonts w:eastAsia="仿宋"/>
                <w:color w:val="auto"/>
                <w:sz w:val="21"/>
                <w:szCs w:val="21"/>
              </w:rPr>
            </w:pPr>
            <w:r>
              <w:rPr>
                <w:rFonts w:eastAsia="仿宋"/>
                <w:color w:val="auto"/>
                <w:sz w:val="21"/>
                <w:szCs w:val="21"/>
              </w:rPr>
              <w:t>电磁、振动</w:t>
            </w:r>
          </w:p>
        </w:tc>
        <w:tc>
          <w:tcPr>
            <w:tcW w:w="1980" w:type="dxa"/>
            <w:vAlign w:val="center"/>
          </w:tcPr>
          <w:p w14:paraId="7140D62A">
            <w:pPr>
              <w:snapToGrid w:val="0"/>
              <w:jc w:val="center"/>
              <w:rPr>
                <w:rFonts w:eastAsia="仿宋"/>
                <w:color w:val="auto"/>
                <w:sz w:val="21"/>
                <w:szCs w:val="21"/>
              </w:rPr>
            </w:pPr>
            <w:r>
              <w:rPr>
                <w:rFonts w:eastAsia="仿宋"/>
                <w:color w:val="auto"/>
                <w:sz w:val="21"/>
                <w:szCs w:val="21"/>
              </w:rPr>
              <w:t>-</w:t>
            </w:r>
          </w:p>
        </w:tc>
        <w:tc>
          <w:tcPr>
            <w:tcW w:w="1981" w:type="dxa"/>
            <w:vAlign w:val="center"/>
          </w:tcPr>
          <w:p w14:paraId="5A845078">
            <w:pPr>
              <w:snapToGrid w:val="0"/>
              <w:jc w:val="center"/>
              <w:rPr>
                <w:rFonts w:eastAsia="仿宋"/>
                <w:color w:val="auto"/>
                <w:sz w:val="21"/>
                <w:szCs w:val="21"/>
              </w:rPr>
            </w:pPr>
            <w:r>
              <w:rPr>
                <w:rFonts w:eastAsia="仿宋"/>
                <w:color w:val="auto"/>
                <w:sz w:val="21"/>
                <w:szCs w:val="21"/>
              </w:rPr>
              <w:t>-</w:t>
            </w:r>
          </w:p>
        </w:tc>
        <w:tc>
          <w:tcPr>
            <w:tcW w:w="1981" w:type="dxa"/>
            <w:vAlign w:val="center"/>
          </w:tcPr>
          <w:p w14:paraId="10D4CDC4">
            <w:pPr>
              <w:snapToGrid w:val="0"/>
              <w:jc w:val="center"/>
              <w:rPr>
                <w:rFonts w:eastAsia="仿宋"/>
                <w:color w:val="auto"/>
                <w:sz w:val="21"/>
                <w:szCs w:val="21"/>
              </w:rPr>
            </w:pPr>
            <w:r>
              <w:rPr>
                <w:rFonts w:hint="eastAsia" w:eastAsia="仿宋"/>
                <w:color w:val="auto"/>
                <w:sz w:val="21"/>
                <w:szCs w:val="21"/>
              </w:rPr>
              <w:t>-</w:t>
            </w:r>
          </w:p>
        </w:tc>
        <w:tc>
          <w:tcPr>
            <w:tcW w:w="1981" w:type="dxa"/>
            <w:vAlign w:val="center"/>
          </w:tcPr>
          <w:p w14:paraId="30C63BD0">
            <w:pPr>
              <w:snapToGrid w:val="0"/>
              <w:jc w:val="center"/>
              <w:rPr>
                <w:rFonts w:eastAsia="仿宋"/>
                <w:color w:val="auto"/>
                <w:sz w:val="21"/>
                <w:szCs w:val="21"/>
              </w:rPr>
            </w:pPr>
            <w:r>
              <w:rPr>
                <w:rFonts w:hint="eastAsia" w:eastAsia="仿宋"/>
                <w:color w:val="auto"/>
                <w:sz w:val="21"/>
                <w:szCs w:val="21"/>
              </w:rPr>
              <w:t>-</w:t>
            </w:r>
          </w:p>
        </w:tc>
      </w:tr>
      <w:tr w14:paraId="12A7A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exact"/>
        </w:trPr>
        <w:tc>
          <w:tcPr>
            <w:tcW w:w="1148" w:type="dxa"/>
            <w:vAlign w:val="center"/>
          </w:tcPr>
          <w:p w14:paraId="693BEA51">
            <w:pPr>
              <w:snapToGrid w:val="0"/>
              <w:jc w:val="center"/>
              <w:rPr>
                <w:rFonts w:eastAsia="仿宋"/>
                <w:color w:val="auto"/>
                <w:sz w:val="21"/>
                <w:szCs w:val="21"/>
              </w:rPr>
            </w:pPr>
            <w:r>
              <w:rPr>
                <w:rFonts w:eastAsia="仿宋"/>
                <w:color w:val="auto"/>
                <w:sz w:val="21"/>
                <w:szCs w:val="21"/>
              </w:rPr>
              <w:t>其他</w:t>
            </w:r>
          </w:p>
        </w:tc>
        <w:tc>
          <w:tcPr>
            <w:tcW w:w="1980" w:type="dxa"/>
            <w:vAlign w:val="center"/>
          </w:tcPr>
          <w:p w14:paraId="668F4DDB">
            <w:pPr>
              <w:snapToGrid w:val="0"/>
              <w:jc w:val="center"/>
              <w:rPr>
                <w:rFonts w:eastAsia="仿宋"/>
                <w:color w:val="auto"/>
                <w:sz w:val="21"/>
                <w:szCs w:val="21"/>
              </w:rPr>
            </w:pPr>
            <w:r>
              <w:rPr>
                <w:rFonts w:hint="eastAsia" w:eastAsia="仿宋"/>
                <w:color w:val="auto"/>
                <w:sz w:val="21"/>
                <w:szCs w:val="21"/>
              </w:rPr>
              <w:t>-</w:t>
            </w:r>
          </w:p>
        </w:tc>
        <w:tc>
          <w:tcPr>
            <w:tcW w:w="1981" w:type="dxa"/>
            <w:vAlign w:val="center"/>
          </w:tcPr>
          <w:p w14:paraId="0D9D5328">
            <w:pPr>
              <w:snapToGrid w:val="0"/>
              <w:jc w:val="center"/>
              <w:rPr>
                <w:rFonts w:eastAsia="仿宋"/>
                <w:color w:val="auto"/>
                <w:sz w:val="21"/>
                <w:szCs w:val="21"/>
              </w:rPr>
            </w:pPr>
            <w:r>
              <w:rPr>
                <w:rFonts w:hint="eastAsia" w:eastAsia="仿宋"/>
                <w:color w:val="auto"/>
                <w:sz w:val="21"/>
                <w:szCs w:val="21"/>
              </w:rPr>
              <w:t>-</w:t>
            </w:r>
          </w:p>
        </w:tc>
        <w:tc>
          <w:tcPr>
            <w:tcW w:w="1981" w:type="dxa"/>
            <w:vAlign w:val="center"/>
          </w:tcPr>
          <w:p w14:paraId="0CDA80FF">
            <w:pPr>
              <w:snapToGrid w:val="0"/>
              <w:jc w:val="center"/>
              <w:rPr>
                <w:rFonts w:eastAsia="仿宋"/>
                <w:color w:val="auto"/>
                <w:sz w:val="21"/>
                <w:szCs w:val="21"/>
              </w:rPr>
            </w:pPr>
            <w:r>
              <w:rPr>
                <w:rFonts w:hint="eastAsia" w:eastAsia="仿宋"/>
                <w:color w:val="auto"/>
                <w:sz w:val="21"/>
                <w:szCs w:val="21"/>
              </w:rPr>
              <w:t>-</w:t>
            </w:r>
          </w:p>
        </w:tc>
        <w:tc>
          <w:tcPr>
            <w:tcW w:w="1981" w:type="dxa"/>
            <w:vAlign w:val="center"/>
          </w:tcPr>
          <w:p w14:paraId="7FA5E408">
            <w:pPr>
              <w:snapToGrid w:val="0"/>
              <w:jc w:val="center"/>
              <w:rPr>
                <w:rFonts w:eastAsia="仿宋"/>
                <w:color w:val="auto"/>
                <w:sz w:val="21"/>
                <w:szCs w:val="21"/>
              </w:rPr>
            </w:pPr>
            <w:r>
              <w:rPr>
                <w:rFonts w:hint="eastAsia" w:eastAsia="仿宋"/>
                <w:color w:val="auto"/>
                <w:sz w:val="21"/>
                <w:szCs w:val="21"/>
              </w:rPr>
              <w:t>-</w:t>
            </w:r>
          </w:p>
        </w:tc>
      </w:tr>
    </w:tbl>
    <w:p w14:paraId="1AABC616">
      <w:pPr>
        <w:rPr>
          <w:color w:val="auto"/>
        </w:rPr>
      </w:pPr>
      <w:r>
        <w:rPr>
          <w:color w:val="auto"/>
        </w:rPr>
        <w:br w:type="page"/>
      </w:r>
    </w:p>
    <w:p w14:paraId="53F41598">
      <w:pPr>
        <w:pStyle w:val="4"/>
        <w:kinsoku w:val="0"/>
        <w:overflowPunct w:val="0"/>
        <w:spacing w:before="168"/>
        <w:ind w:left="0" w:right="255"/>
        <w:outlineLvl w:val="0"/>
        <w:rPr>
          <w:rFonts w:ascii="Times New Roman" w:eastAsia="仿宋" w:cs="Times New Roman"/>
          <w:color w:val="auto"/>
          <w:sz w:val="24"/>
          <w:szCs w:val="24"/>
        </w:rPr>
      </w:pPr>
      <w:r>
        <w:rPr>
          <w:rFonts w:ascii="Times New Roman" w:eastAsia="仿宋" w:cs="Times New Roman"/>
          <w:b/>
          <w:bCs/>
          <w:color w:val="auto"/>
          <w:sz w:val="24"/>
          <w:szCs w:val="24"/>
        </w:rPr>
        <w:t>表9  环境管理状况及监测计划</w:t>
      </w:r>
    </w:p>
    <w:tbl>
      <w:tblPr>
        <w:tblStyle w:val="7"/>
        <w:tblW w:w="9071" w:type="dxa"/>
        <w:jc w:val="center"/>
        <w:tblLayout w:type="fixed"/>
        <w:tblCellMar>
          <w:top w:w="0" w:type="dxa"/>
          <w:left w:w="0" w:type="dxa"/>
          <w:bottom w:w="0" w:type="dxa"/>
          <w:right w:w="0" w:type="dxa"/>
        </w:tblCellMar>
      </w:tblPr>
      <w:tblGrid>
        <w:gridCol w:w="9071"/>
      </w:tblGrid>
      <w:tr w14:paraId="7DB81482">
        <w:tblPrEx>
          <w:tblCellMar>
            <w:top w:w="0" w:type="dxa"/>
            <w:left w:w="0" w:type="dxa"/>
            <w:bottom w:w="0" w:type="dxa"/>
            <w:right w:w="0" w:type="dxa"/>
          </w:tblCellMar>
        </w:tblPrEx>
        <w:trPr>
          <w:trHeight w:val="3225" w:hRule="exact"/>
          <w:jc w:val="center"/>
        </w:trPr>
        <w:tc>
          <w:tcPr>
            <w:tcW w:w="9071" w:type="dxa"/>
            <w:tcBorders>
              <w:top w:val="single" w:color="000000" w:sz="4" w:space="0"/>
              <w:left w:val="single" w:color="000000" w:sz="4" w:space="0"/>
              <w:bottom w:val="single" w:color="000000" w:sz="4" w:space="0"/>
              <w:right w:val="single" w:color="000000" w:sz="4" w:space="0"/>
            </w:tcBorders>
            <w:vAlign w:val="center"/>
          </w:tcPr>
          <w:p w14:paraId="0721CF52">
            <w:pPr>
              <w:snapToGrid w:val="0"/>
              <w:spacing w:line="500" w:lineRule="exact"/>
              <w:jc w:val="both"/>
              <w:rPr>
                <w:rFonts w:eastAsia="仿宋"/>
                <w:b/>
                <w:bCs/>
                <w:color w:val="auto"/>
              </w:rPr>
            </w:pPr>
            <w:r>
              <w:rPr>
                <w:rFonts w:eastAsia="仿宋"/>
                <w:b/>
                <w:bCs/>
                <w:color w:val="auto"/>
              </w:rPr>
              <w:t>环境管理机构设置(分施工期和运行期)</w:t>
            </w:r>
          </w:p>
          <w:p w14:paraId="28048099">
            <w:pPr>
              <w:snapToGrid w:val="0"/>
              <w:spacing w:line="500" w:lineRule="exact"/>
              <w:ind w:firstLine="480" w:firstLineChars="200"/>
              <w:jc w:val="both"/>
              <w:rPr>
                <w:rFonts w:eastAsia="仿宋"/>
                <w:color w:val="auto"/>
              </w:rPr>
            </w:pPr>
            <w:r>
              <w:rPr>
                <w:rFonts w:hint="eastAsia" w:eastAsia="仿宋"/>
                <w:color w:val="auto"/>
              </w:rPr>
              <w:t>为保证环境管理工作的有效性，公司设专人负责施工期及运营期的环境保护工作。</w:t>
            </w:r>
          </w:p>
          <w:p w14:paraId="64168B0B">
            <w:pPr>
              <w:snapToGrid w:val="0"/>
              <w:spacing w:line="500" w:lineRule="exact"/>
              <w:ind w:firstLine="480" w:firstLineChars="200"/>
              <w:jc w:val="both"/>
              <w:rPr>
                <w:rFonts w:eastAsia="仿宋"/>
                <w:color w:val="auto"/>
              </w:rPr>
            </w:pPr>
            <w:r>
              <w:rPr>
                <w:rFonts w:eastAsia="仿宋"/>
                <w:color w:val="auto"/>
              </w:rPr>
              <w:t>1</w:t>
            </w:r>
            <w:r>
              <w:rPr>
                <w:rFonts w:hint="eastAsia" w:eastAsia="仿宋"/>
                <w:color w:val="auto"/>
              </w:rPr>
              <w:t>、施工期环境管理与监督</w:t>
            </w:r>
          </w:p>
          <w:p w14:paraId="688D8FD2">
            <w:pPr>
              <w:snapToGrid w:val="0"/>
              <w:spacing w:line="500" w:lineRule="exact"/>
              <w:ind w:firstLine="480" w:firstLineChars="200"/>
              <w:jc w:val="both"/>
              <w:rPr>
                <w:rFonts w:eastAsia="仿宋"/>
                <w:color w:val="auto"/>
              </w:rPr>
            </w:pPr>
            <w:r>
              <w:rPr>
                <w:rFonts w:hint="eastAsia" w:eastAsia="仿宋"/>
                <w:color w:val="auto"/>
              </w:rPr>
              <w:t>监督施工期污染物、</w:t>
            </w:r>
            <w:r>
              <w:rPr>
                <w:rFonts w:eastAsia="仿宋"/>
                <w:color w:val="auto"/>
              </w:rPr>
              <w:t>废弃物</w:t>
            </w:r>
            <w:r>
              <w:rPr>
                <w:rFonts w:hint="eastAsia" w:eastAsia="仿宋"/>
                <w:color w:val="auto"/>
              </w:rPr>
              <w:t>达标排放</w:t>
            </w:r>
            <w:r>
              <w:rPr>
                <w:rFonts w:eastAsia="仿宋"/>
                <w:color w:val="auto"/>
              </w:rPr>
              <w:t>及合理处置情况</w:t>
            </w:r>
            <w:r>
              <w:rPr>
                <w:rFonts w:hint="eastAsia" w:eastAsia="仿宋"/>
                <w:color w:val="auto"/>
              </w:rPr>
              <w:t>。</w:t>
            </w:r>
          </w:p>
          <w:p w14:paraId="55EFE285">
            <w:pPr>
              <w:snapToGrid w:val="0"/>
              <w:spacing w:line="500" w:lineRule="exact"/>
              <w:ind w:firstLine="480" w:firstLineChars="200"/>
              <w:jc w:val="both"/>
              <w:rPr>
                <w:rFonts w:eastAsia="仿宋"/>
                <w:color w:val="auto"/>
              </w:rPr>
            </w:pPr>
            <w:r>
              <w:rPr>
                <w:rFonts w:hint="eastAsia" w:eastAsia="仿宋"/>
                <w:color w:val="auto"/>
              </w:rPr>
              <w:t>2、运营期的环境管理与监督</w:t>
            </w:r>
          </w:p>
          <w:p w14:paraId="689E83D1">
            <w:pPr>
              <w:snapToGrid w:val="0"/>
              <w:spacing w:line="500" w:lineRule="exact"/>
              <w:ind w:firstLine="480" w:firstLineChars="200"/>
              <w:jc w:val="both"/>
              <w:rPr>
                <w:rFonts w:eastAsia="仿宋"/>
                <w:color w:val="auto"/>
                <w:sz w:val="21"/>
                <w:szCs w:val="21"/>
              </w:rPr>
            </w:pPr>
            <w:r>
              <w:rPr>
                <w:rFonts w:hint="eastAsia" w:eastAsia="仿宋"/>
                <w:color w:val="auto"/>
              </w:rPr>
              <w:t>管道维护施工涉及的环保问题</w:t>
            </w:r>
            <w:r>
              <w:rPr>
                <w:rFonts w:eastAsia="仿宋"/>
                <w:color w:val="auto"/>
              </w:rPr>
              <w:t>。</w:t>
            </w:r>
          </w:p>
        </w:tc>
      </w:tr>
      <w:tr w14:paraId="3D64DC7B">
        <w:tblPrEx>
          <w:tblCellMar>
            <w:top w:w="0" w:type="dxa"/>
            <w:left w:w="0" w:type="dxa"/>
            <w:bottom w:w="0" w:type="dxa"/>
            <w:right w:w="0" w:type="dxa"/>
          </w:tblCellMar>
        </w:tblPrEx>
        <w:trPr>
          <w:trHeight w:val="975" w:hRule="exact"/>
          <w:jc w:val="center"/>
        </w:trPr>
        <w:tc>
          <w:tcPr>
            <w:tcW w:w="9071" w:type="dxa"/>
            <w:tcBorders>
              <w:top w:val="single" w:color="000000" w:sz="4" w:space="0"/>
              <w:left w:val="single" w:color="000000" w:sz="4" w:space="0"/>
              <w:bottom w:val="single" w:color="000000" w:sz="4" w:space="0"/>
              <w:right w:val="single" w:color="000000" w:sz="4" w:space="0"/>
            </w:tcBorders>
            <w:vAlign w:val="center"/>
          </w:tcPr>
          <w:p w14:paraId="1A865B91">
            <w:pPr>
              <w:snapToGrid w:val="0"/>
              <w:spacing w:line="500" w:lineRule="exact"/>
              <w:jc w:val="both"/>
              <w:rPr>
                <w:rFonts w:eastAsia="仿宋"/>
                <w:color w:val="auto"/>
              </w:rPr>
            </w:pPr>
            <w:r>
              <w:rPr>
                <w:rFonts w:eastAsia="仿宋"/>
                <w:color w:val="auto"/>
              </w:rPr>
              <w:t>环境监测能力建设情况</w:t>
            </w:r>
          </w:p>
          <w:p w14:paraId="2F79C39A">
            <w:pPr>
              <w:snapToGrid w:val="0"/>
              <w:spacing w:line="500" w:lineRule="exact"/>
              <w:ind w:firstLine="480" w:firstLineChars="200"/>
              <w:jc w:val="both"/>
              <w:rPr>
                <w:rFonts w:eastAsia="仿宋"/>
                <w:color w:val="auto"/>
                <w:sz w:val="21"/>
                <w:szCs w:val="21"/>
              </w:rPr>
            </w:pPr>
            <w:r>
              <w:rPr>
                <w:rFonts w:hint="eastAsia" w:eastAsia="仿宋"/>
                <w:color w:val="auto"/>
              </w:rPr>
              <w:t>环评报告表未提出监测计划要求</w:t>
            </w:r>
            <w:r>
              <w:rPr>
                <w:rFonts w:hint="eastAsia" w:eastAsia="仿宋"/>
                <w:color w:val="auto"/>
                <w:sz w:val="21"/>
                <w:szCs w:val="21"/>
              </w:rPr>
              <w:t>。</w:t>
            </w:r>
          </w:p>
        </w:tc>
      </w:tr>
      <w:tr w14:paraId="19DB87ED">
        <w:tblPrEx>
          <w:tblCellMar>
            <w:top w:w="0" w:type="dxa"/>
            <w:left w:w="0" w:type="dxa"/>
            <w:bottom w:w="0" w:type="dxa"/>
            <w:right w:w="0" w:type="dxa"/>
          </w:tblCellMar>
        </w:tblPrEx>
        <w:trPr>
          <w:trHeight w:val="1615" w:hRule="exact"/>
          <w:jc w:val="center"/>
        </w:trPr>
        <w:tc>
          <w:tcPr>
            <w:tcW w:w="9071" w:type="dxa"/>
            <w:tcBorders>
              <w:top w:val="single" w:color="000000" w:sz="4" w:space="0"/>
              <w:left w:val="single" w:color="000000" w:sz="4" w:space="0"/>
              <w:bottom w:val="single" w:color="000000" w:sz="4" w:space="0"/>
              <w:right w:val="single" w:color="000000" w:sz="4" w:space="0"/>
            </w:tcBorders>
            <w:vAlign w:val="center"/>
          </w:tcPr>
          <w:p w14:paraId="1ED63F9C">
            <w:pPr>
              <w:snapToGrid w:val="0"/>
              <w:spacing w:line="500" w:lineRule="exact"/>
              <w:jc w:val="both"/>
              <w:rPr>
                <w:rFonts w:eastAsia="仿宋"/>
                <w:color w:val="auto"/>
              </w:rPr>
            </w:pPr>
            <w:r>
              <w:rPr>
                <w:rFonts w:eastAsia="仿宋"/>
                <w:color w:val="auto"/>
              </w:rPr>
              <w:t>环境影响报告表中提出的监测计划及其落实情况</w:t>
            </w:r>
          </w:p>
          <w:p w14:paraId="4B944839">
            <w:pPr>
              <w:snapToGrid w:val="0"/>
              <w:spacing w:line="500" w:lineRule="exact"/>
              <w:ind w:firstLine="480" w:firstLineChars="200"/>
              <w:jc w:val="both"/>
              <w:rPr>
                <w:rFonts w:eastAsia="仿宋"/>
                <w:color w:val="auto"/>
                <w:sz w:val="21"/>
                <w:szCs w:val="21"/>
              </w:rPr>
            </w:pPr>
            <w:r>
              <w:rPr>
                <w:rFonts w:hint="eastAsia" w:eastAsia="仿宋"/>
                <w:color w:val="auto"/>
              </w:rPr>
              <w:t>本项目为管廊项目，主要环境影响</w:t>
            </w:r>
            <w:r>
              <w:rPr>
                <w:rFonts w:hint="eastAsia" w:eastAsia="仿宋"/>
                <w:color w:val="auto"/>
                <w:lang w:val="en-US" w:eastAsia="zh-CN"/>
              </w:rPr>
              <w:t>为环境风险事故产生的影响</w:t>
            </w:r>
            <w:r>
              <w:rPr>
                <w:rFonts w:hint="eastAsia" w:eastAsia="仿宋"/>
                <w:color w:val="auto"/>
              </w:rPr>
              <w:t>，环评中对</w:t>
            </w:r>
            <w:r>
              <w:rPr>
                <w:rFonts w:hint="eastAsia" w:eastAsia="仿宋"/>
                <w:color w:val="auto"/>
                <w:lang w:val="en-US" w:eastAsia="zh-CN"/>
              </w:rPr>
              <w:t>已对运营期</w:t>
            </w:r>
            <w:r>
              <w:rPr>
                <w:rFonts w:hint="eastAsia" w:eastAsia="仿宋"/>
                <w:color w:val="auto"/>
              </w:rPr>
              <w:t>提出</w:t>
            </w:r>
            <w:r>
              <w:rPr>
                <w:rFonts w:hint="eastAsia" w:eastAsia="仿宋"/>
                <w:color w:val="auto"/>
                <w:lang w:val="en-US" w:eastAsia="zh-CN"/>
              </w:rPr>
              <w:t>应急</w:t>
            </w:r>
            <w:r>
              <w:rPr>
                <w:rFonts w:hint="eastAsia" w:eastAsia="仿宋"/>
                <w:color w:val="auto"/>
              </w:rPr>
              <w:t>监测计划</w:t>
            </w:r>
            <w:r>
              <w:rPr>
                <w:rFonts w:eastAsia="仿宋"/>
                <w:color w:val="auto"/>
              </w:rPr>
              <w:t>。</w:t>
            </w:r>
          </w:p>
        </w:tc>
      </w:tr>
      <w:tr w14:paraId="6621289A">
        <w:tblPrEx>
          <w:tblCellMar>
            <w:top w:w="0" w:type="dxa"/>
            <w:left w:w="0" w:type="dxa"/>
            <w:bottom w:w="0" w:type="dxa"/>
            <w:right w:w="0" w:type="dxa"/>
          </w:tblCellMar>
        </w:tblPrEx>
        <w:trPr>
          <w:trHeight w:val="7447" w:hRule="exact"/>
          <w:jc w:val="center"/>
        </w:trPr>
        <w:tc>
          <w:tcPr>
            <w:tcW w:w="9071" w:type="dxa"/>
            <w:tcBorders>
              <w:top w:val="single" w:color="000000" w:sz="4" w:space="0"/>
              <w:left w:val="single" w:color="000000" w:sz="4" w:space="0"/>
              <w:bottom w:val="single" w:color="000000" w:sz="4" w:space="0"/>
              <w:right w:val="single" w:color="000000" w:sz="4" w:space="0"/>
            </w:tcBorders>
            <w:vAlign w:val="center"/>
          </w:tcPr>
          <w:p w14:paraId="397A7365">
            <w:pPr>
              <w:snapToGrid w:val="0"/>
              <w:spacing w:line="500" w:lineRule="exact"/>
              <w:jc w:val="left"/>
              <w:rPr>
                <w:rFonts w:eastAsia="仿宋"/>
                <w:color w:val="auto"/>
              </w:rPr>
            </w:pPr>
            <w:r>
              <w:rPr>
                <w:rFonts w:eastAsia="仿宋"/>
                <w:color w:val="auto"/>
              </w:rPr>
              <w:t>环境管理状况分析与建议</w:t>
            </w:r>
          </w:p>
          <w:p w14:paraId="3D26CD3F">
            <w:pPr>
              <w:snapToGrid w:val="0"/>
              <w:spacing w:line="500" w:lineRule="exact"/>
              <w:ind w:firstLine="480" w:firstLineChars="200"/>
              <w:jc w:val="left"/>
              <w:rPr>
                <w:rFonts w:eastAsia="仿宋"/>
                <w:color w:val="auto"/>
              </w:rPr>
            </w:pPr>
            <w:r>
              <w:rPr>
                <w:rFonts w:hint="eastAsia" w:eastAsia="仿宋"/>
                <w:color w:val="auto"/>
              </w:rPr>
              <w:t>本工程落实了环境影响报告表及审批文件中的要求，为进一步做好运营期环境保护工作，做好与关联项目及依托工程应急预案、园区突发环境事件应急预案、石化基地应急截污方案等联动</w:t>
            </w:r>
            <w:r>
              <w:rPr>
                <w:rFonts w:eastAsia="仿宋"/>
                <w:color w:val="auto"/>
              </w:rPr>
              <w:t>。</w:t>
            </w:r>
          </w:p>
          <w:p w14:paraId="4F492631">
            <w:pPr>
              <w:snapToGrid w:val="0"/>
              <w:spacing w:line="500" w:lineRule="exact"/>
              <w:ind w:firstLine="480" w:firstLineChars="200"/>
              <w:jc w:val="left"/>
              <w:rPr>
                <w:rFonts w:eastAsia="仿宋"/>
                <w:color w:val="auto"/>
              </w:rPr>
            </w:pPr>
          </w:p>
          <w:p w14:paraId="081F49D5">
            <w:pPr>
              <w:snapToGrid w:val="0"/>
              <w:spacing w:line="500" w:lineRule="exact"/>
              <w:ind w:firstLine="480" w:firstLineChars="200"/>
              <w:jc w:val="left"/>
              <w:rPr>
                <w:rFonts w:eastAsia="仿宋"/>
                <w:color w:val="auto"/>
              </w:rPr>
            </w:pPr>
          </w:p>
          <w:p w14:paraId="37565405">
            <w:pPr>
              <w:pStyle w:val="2"/>
              <w:rPr>
                <w:rFonts w:eastAsia="仿宋"/>
                <w:color w:val="auto"/>
              </w:rPr>
            </w:pPr>
          </w:p>
          <w:p w14:paraId="11B0F20E">
            <w:pPr>
              <w:rPr>
                <w:rFonts w:eastAsia="仿宋"/>
                <w:color w:val="auto"/>
              </w:rPr>
            </w:pPr>
          </w:p>
          <w:p w14:paraId="40C30E94">
            <w:pPr>
              <w:pStyle w:val="2"/>
              <w:rPr>
                <w:color w:val="auto"/>
              </w:rPr>
            </w:pPr>
          </w:p>
          <w:p w14:paraId="315E66D9">
            <w:pPr>
              <w:snapToGrid w:val="0"/>
              <w:spacing w:line="500" w:lineRule="exact"/>
              <w:ind w:firstLine="480" w:firstLineChars="200"/>
              <w:jc w:val="both"/>
              <w:rPr>
                <w:rFonts w:hint="eastAsia" w:eastAsia="仿宋"/>
                <w:color w:val="auto"/>
              </w:rPr>
            </w:pPr>
          </w:p>
          <w:p w14:paraId="1478EEA4">
            <w:pPr>
              <w:pStyle w:val="2"/>
              <w:rPr>
                <w:rFonts w:hint="eastAsia" w:eastAsia="仿宋"/>
                <w:color w:val="auto"/>
              </w:rPr>
            </w:pPr>
          </w:p>
          <w:p w14:paraId="377FB71E">
            <w:pPr>
              <w:rPr>
                <w:rFonts w:hint="eastAsia" w:eastAsia="仿宋"/>
                <w:color w:val="auto"/>
              </w:rPr>
            </w:pPr>
          </w:p>
          <w:p w14:paraId="435CB606">
            <w:pPr>
              <w:pStyle w:val="2"/>
              <w:rPr>
                <w:rFonts w:hint="eastAsia"/>
                <w:color w:val="auto"/>
              </w:rPr>
            </w:pPr>
          </w:p>
        </w:tc>
      </w:tr>
    </w:tbl>
    <w:p w14:paraId="4DEE8437">
      <w:pPr>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CFA76DC">
      <w:pPr>
        <w:pStyle w:val="4"/>
        <w:kinsoku w:val="0"/>
        <w:overflowPunct w:val="0"/>
        <w:spacing w:before="168"/>
        <w:ind w:left="0" w:right="255"/>
        <w:outlineLvl w:val="0"/>
        <w:rPr>
          <w:rFonts w:ascii="Times New Roman" w:eastAsia="仿宋" w:cs="Times New Roman"/>
          <w:b/>
          <w:bCs/>
          <w:color w:val="auto"/>
          <w:sz w:val="24"/>
          <w:szCs w:val="24"/>
        </w:rPr>
      </w:pPr>
      <w:r>
        <w:rPr>
          <w:rFonts w:ascii="Times New Roman" w:eastAsia="仿宋" w:cs="Times New Roman"/>
          <w:b/>
          <w:bCs/>
          <w:color w:val="auto"/>
          <w:sz w:val="24"/>
          <w:szCs w:val="24"/>
        </w:rPr>
        <w:t>表10  调查结论与建议</w:t>
      </w:r>
    </w:p>
    <w:tbl>
      <w:tblPr>
        <w:tblStyle w:val="7"/>
        <w:tblW w:w="9071" w:type="dxa"/>
        <w:jc w:val="center"/>
        <w:tblLayout w:type="fixed"/>
        <w:tblCellMar>
          <w:top w:w="0" w:type="dxa"/>
          <w:left w:w="0" w:type="dxa"/>
          <w:bottom w:w="0" w:type="dxa"/>
          <w:right w:w="0" w:type="dxa"/>
        </w:tblCellMar>
      </w:tblPr>
      <w:tblGrid>
        <w:gridCol w:w="9071"/>
      </w:tblGrid>
      <w:tr w14:paraId="6FA850A1">
        <w:tblPrEx>
          <w:tblCellMar>
            <w:top w:w="0" w:type="dxa"/>
            <w:left w:w="0" w:type="dxa"/>
            <w:bottom w:w="0" w:type="dxa"/>
            <w:right w:w="0" w:type="dxa"/>
          </w:tblCellMar>
        </w:tblPrEx>
        <w:trPr>
          <w:trHeight w:val="13445" w:hRule="exact"/>
          <w:jc w:val="center"/>
        </w:trPr>
        <w:tc>
          <w:tcPr>
            <w:tcW w:w="9631" w:type="dxa"/>
            <w:tcBorders>
              <w:top w:val="single" w:color="000000" w:sz="4" w:space="0"/>
              <w:left w:val="single" w:color="000000" w:sz="4" w:space="0"/>
              <w:bottom w:val="single" w:color="000000" w:sz="4" w:space="0"/>
              <w:right w:val="single" w:color="000000" w:sz="4" w:space="0"/>
            </w:tcBorders>
            <w:vAlign w:val="top"/>
          </w:tcPr>
          <w:p w14:paraId="5D6270BE">
            <w:pPr>
              <w:pStyle w:val="14"/>
              <w:keepNext w:val="0"/>
              <w:keepLines w:val="0"/>
              <w:pageBreakBefore w:val="0"/>
              <w:widowControl w:val="0"/>
              <w:kinsoku w:val="0"/>
              <w:wordWrap/>
              <w:overflowPunct w:val="0"/>
              <w:topLinePunct w:val="0"/>
              <w:autoSpaceDE w:val="0"/>
              <w:autoSpaceDN w:val="0"/>
              <w:bidi w:val="0"/>
              <w:adjustRightInd w:val="0"/>
              <w:snapToGrid/>
              <w:spacing w:line="500" w:lineRule="exact"/>
              <w:ind w:left="0"/>
              <w:textAlignment w:val="auto"/>
              <w:rPr>
                <w:rFonts w:eastAsia="仿宋"/>
                <w:b/>
                <w:bCs/>
                <w:color w:val="auto"/>
              </w:rPr>
            </w:pPr>
            <w:r>
              <w:rPr>
                <w:rFonts w:eastAsia="仿宋"/>
                <w:b/>
                <w:bCs/>
                <w:color w:val="auto"/>
              </w:rPr>
              <w:t>调查结论及建议</w:t>
            </w:r>
          </w:p>
          <w:p w14:paraId="576EDA22">
            <w:pPr>
              <w:keepNext w:val="0"/>
              <w:keepLines w:val="0"/>
              <w:pageBreakBefore w:val="0"/>
              <w:widowControl w:val="0"/>
              <w:wordWrap/>
              <w:topLinePunct w:val="0"/>
              <w:autoSpaceDE w:val="0"/>
              <w:autoSpaceDN w:val="0"/>
              <w:bidi w:val="0"/>
              <w:adjustRightInd w:val="0"/>
              <w:snapToGrid w:val="0"/>
              <w:spacing w:line="500" w:lineRule="exact"/>
              <w:jc w:val="both"/>
              <w:textAlignment w:val="auto"/>
              <w:rPr>
                <w:rFonts w:eastAsia="仿宋"/>
                <w:color w:val="auto"/>
              </w:rPr>
            </w:pPr>
            <w:r>
              <w:rPr>
                <w:rFonts w:eastAsia="仿宋"/>
                <w:color w:val="auto"/>
              </w:rPr>
              <w:t>1、验收调查结论：</w:t>
            </w:r>
          </w:p>
          <w:p w14:paraId="47AD31BF">
            <w:pPr>
              <w:keepNext w:val="0"/>
              <w:keepLines w:val="0"/>
              <w:pageBreakBefore w:val="0"/>
              <w:widowControl w:val="0"/>
              <w:wordWrap/>
              <w:topLinePunct w:val="0"/>
              <w:autoSpaceDE w:val="0"/>
              <w:autoSpaceDN w:val="0"/>
              <w:bidi w:val="0"/>
              <w:adjustRightInd w:val="0"/>
              <w:snapToGrid w:val="0"/>
              <w:spacing w:line="500" w:lineRule="exact"/>
              <w:ind w:firstLine="480" w:firstLineChars="200"/>
              <w:jc w:val="both"/>
              <w:textAlignment w:val="auto"/>
              <w:rPr>
                <w:rFonts w:eastAsia="仿宋"/>
                <w:color w:val="auto"/>
              </w:rPr>
            </w:pPr>
            <w:r>
              <w:rPr>
                <w:rFonts w:hint="eastAsia" w:eastAsia="仿宋"/>
                <w:color w:val="auto"/>
              </w:rPr>
              <w:t>（1）</w:t>
            </w:r>
            <w:r>
              <w:rPr>
                <w:rFonts w:eastAsia="仿宋"/>
                <w:color w:val="auto"/>
              </w:rPr>
              <w:t>生态环境影响调查结论</w:t>
            </w:r>
          </w:p>
          <w:p w14:paraId="2FB68557">
            <w:pPr>
              <w:keepNext w:val="0"/>
              <w:keepLines w:val="0"/>
              <w:pageBreakBefore w:val="0"/>
              <w:widowControl w:val="0"/>
              <w:wordWrap/>
              <w:topLinePunct w:val="0"/>
              <w:autoSpaceDE w:val="0"/>
              <w:autoSpaceDN w:val="0"/>
              <w:bidi w:val="0"/>
              <w:adjustRightInd w:val="0"/>
              <w:snapToGrid w:val="0"/>
              <w:spacing w:line="500" w:lineRule="exact"/>
              <w:ind w:firstLine="480" w:firstLineChars="200"/>
              <w:jc w:val="both"/>
              <w:textAlignment w:val="auto"/>
              <w:rPr>
                <w:rFonts w:eastAsia="仿宋"/>
                <w:color w:val="auto"/>
              </w:rPr>
            </w:pPr>
            <w:r>
              <w:rPr>
                <w:rFonts w:eastAsia="仿宋"/>
                <w:color w:val="auto"/>
              </w:rPr>
              <w:t>管道敷设过程中，未造成明显的生态问题。</w:t>
            </w:r>
          </w:p>
          <w:p w14:paraId="236F2E5F">
            <w:pPr>
              <w:keepNext w:val="0"/>
              <w:keepLines w:val="0"/>
              <w:pageBreakBefore w:val="0"/>
              <w:widowControl w:val="0"/>
              <w:wordWrap/>
              <w:topLinePunct w:val="0"/>
              <w:autoSpaceDE w:val="0"/>
              <w:autoSpaceDN w:val="0"/>
              <w:bidi w:val="0"/>
              <w:adjustRightInd w:val="0"/>
              <w:snapToGrid w:val="0"/>
              <w:spacing w:line="500" w:lineRule="exact"/>
              <w:ind w:firstLine="480" w:firstLineChars="200"/>
              <w:jc w:val="both"/>
              <w:textAlignment w:val="auto"/>
              <w:rPr>
                <w:rFonts w:eastAsia="仿宋"/>
                <w:color w:val="auto"/>
              </w:rPr>
            </w:pPr>
            <w:r>
              <w:rPr>
                <w:rFonts w:hint="eastAsia" w:eastAsia="仿宋"/>
                <w:color w:val="auto"/>
              </w:rPr>
              <w:t>（2）</w:t>
            </w:r>
            <w:r>
              <w:rPr>
                <w:rFonts w:eastAsia="仿宋"/>
                <w:color w:val="auto"/>
              </w:rPr>
              <w:t>声环境影响调查结论</w:t>
            </w:r>
          </w:p>
          <w:p w14:paraId="35A5EAAF">
            <w:pPr>
              <w:keepNext w:val="0"/>
              <w:keepLines w:val="0"/>
              <w:pageBreakBefore w:val="0"/>
              <w:widowControl w:val="0"/>
              <w:wordWrap/>
              <w:topLinePunct w:val="0"/>
              <w:autoSpaceDE w:val="0"/>
              <w:autoSpaceDN w:val="0"/>
              <w:bidi w:val="0"/>
              <w:adjustRightInd w:val="0"/>
              <w:snapToGrid w:val="0"/>
              <w:spacing w:line="500" w:lineRule="exact"/>
              <w:ind w:firstLine="480" w:firstLineChars="200"/>
              <w:jc w:val="both"/>
              <w:textAlignment w:val="auto"/>
              <w:rPr>
                <w:rFonts w:eastAsia="仿宋"/>
                <w:color w:val="auto"/>
              </w:rPr>
            </w:pPr>
            <w:r>
              <w:rPr>
                <w:rFonts w:eastAsia="仿宋"/>
                <w:color w:val="auto"/>
              </w:rPr>
              <w:t>本工程施工期使用低噪声设备，合理安排施工时段，未接到噪声投诉事件，施工期噪声防治措施有效；</w:t>
            </w:r>
            <w:r>
              <w:rPr>
                <w:rFonts w:hint="eastAsia" w:eastAsia="仿宋"/>
                <w:color w:val="auto"/>
                <w:lang w:val="en-US" w:eastAsia="zh-CN"/>
              </w:rPr>
              <w:t>项目运营期</w:t>
            </w:r>
            <w:r>
              <w:rPr>
                <w:rFonts w:hint="eastAsia" w:eastAsia="仿宋"/>
                <w:color w:val="auto"/>
              </w:rPr>
              <w:t>各厂界噪声满足《工业企业厂界环境噪声排放标准》（GB12348-2008）3类标准要求</w:t>
            </w:r>
            <w:r>
              <w:rPr>
                <w:rFonts w:eastAsia="仿宋"/>
                <w:color w:val="auto"/>
              </w:rPr>
              <w:t>，不会对周边环境造成影响。</w:t>
            </w:r>
          </w:p>
          <w:p w14:paraId="44A5168A">
            <w:pPr>
              <w:keepNext w:val="0"/>
              <w:keepLines w:val="0"/>
              <w:pageBreakBefore w:val="0"/>
              <w:widowControl w:val="0"/>
              <w:wordWrap/>
              <w:topLinePunct w:val="0"/>
              <w:autoSpaceDE w:val="0"/>
              <w:autoSpaceDN w:val="0"/>
              <w:bidi w:val="0"/>
              <w:adjustRightInd w:val="0"/>
              <w:snapToGrid w:val="0"/>
              <w:spacing w:line="500" w:lineRule="exact"/>
              <w:ind w:firstLine="480" w:firstLineChars="200"/>
              <w:jc w:val="both"/>
              <w:textAlignment w:val="auto"/>
              <w:rPr>
                <w:rFonts w:eastAsia="仿宋"/>
                <w:color w:val="auto"/>
              </w:rPr>
            </w:pPr>
            <w:r>
              <w:rPr>
                <w:rFonts w:hint="eastAsia" w:eastAsia="仿宋"/>
                <w:color w:val="auto"/>
              </w:rPr>
              <w:t>（3）</w:t>
            </w:r>
            <w:r>
              <w:rPr>
                <w:rFonts w:eastAsia="仿宋"/>
                <w:color w:val="auto"/>
              </w:rPr>
              <w:t>水环境影响调查结论</w:t>
            </w:r>
          </w:p>
          <w:p w14:paraId="2065DA8C">
            <w:pPr>
              <w:keepNext w:val="0"/>
              <w:keepLines w:val="0"/>
              <w:pageBreakBefore w:val="0"/>
              <w:widowControl w:val="0"/>
              <w:wordWrap/>
              <w:topLinePunct w:val="0"/>
              <w:autoSpaceDE w:val="0"/>
              <w:autoSpaceDN w:val="0"/>
              <w:bidi w:val="0"/>
              <w:adjustRightInd w:val="0"/>
              <w:snapToGrid w:val="0"/>
              <w:spacing w:line="500" w:lineRule="exact"/>
              <w:ind w:firstLine="480" w:firstLineChars="200"/>
              <w:jc w:val="both"/>
              <w:textAlignment w:val="auto"/>
              <w:rPr>
                <w:rFonts w:hint="default" w:eastAsia="仿宋"/>
                <w:color w:val="auto"/>
                <w:lang w:val="en-US" w:eastAsia="zh-CN"/>
              </w:rPr>
            </w:pPr>
            <w:r>
              <w:rPr>
                <w:rFonts w:hint="eastAsia" w:eastAsia="仿宋"/>
                <w:color w:val="auto"/>
              </w:rPr>
              <w:t>项目施工期废水主要包括生活污水和管线试压废水。管线试压废水主要污染物为铁锈、沙石等，集中收集与生活污水一起排入斯尔邦石化有限公司污水处理站统一处理后回用。</w:t>
            </w:r>
            <w:r>
              <w:rPr>
                <w:rFonts w:hint="eastAsia" w:eastAsia="仿宋"/>
                <w:color w:val="auto"/>
                <w:lang w:val="en-US" w:eastAsia="zh-CN"/>
              </w:rPr>
              <w:t>项目运营期无废水产生。</w:t>
            </w:r>
          </w:p>
          <w:p w14:paraId="651F0300">
            <w:pPr>
              <w:keepNext w:val="0"/>
              <w:keepLines w:val="0"/>
              <w:pageBreakBefore w:val="0"/>
              <w:widowControl w:val="0"/>
              <w:wordWrap/>
              <w:topLinePunct w:val="0"/>
              <w:autoSpaceDE w:val="0"/>
              <w:autoSpaceDN w:val="0"/>
              <w:bidi w:val="0"/>
              <w:adjustRightInd w:val="0"/>
              <w:snapToGrid w:val="0"/>
              <w:spacing w:line="500" w:lineRule="exact"/>
              <w:ind w:firstLine="480" w:firstLineChars="200"/>
              <w:jc w:val="both"/>
              <w:textAlignment w:val="auto"/>
              <w:rPr>
                <w:rFonts w:eastAsia="仿宋"/>
                <w:color w:val="auto"/>
              </w:rPr>
            </w:pPr>
            <w:r>
              <w:rPr>
                <w:rFonts w:hint="eastAsia" w:eastAsia="仿宋"/>
                <w:color w:val="auto"/>
              </w:rPr>
              <w:t>（4）</w:t>
            </w:r>
            <w:r>
              <w:rPr>
                <w:rFonts w:eastAsia="仿宋"/>
                <w:color w:val="auto"/>
              </w:rPr>
              <w:t>大气环境影响调查结论</w:t>
            </w:r>
          </w:p>
          <w:p w14:paraId="009FF8D5">
            <w:pPr>
              <w:keepNext w:val="0"/>
              <w:keepLines w:val="0"/>
              <w:pageBreakBefore w:val="0"/>
              <w:widowControl w:val="0"/>
              <w:wordWrap/>
              <w:topLinePunct w:val="0"/>
              <w:autoSpaceDE w:val="0"/>
              <w:autoSpaceDN w:val="0"/>
              <w:bidi w:val="0"/>
              <w:adjustRightInd w:val="0"/>
              <w:snapToGrid w:val="0"/>
              <w:spacing w:line="500" w:lineRule="exact"/>
              <w:ind w:firstLine="480" w:firstLineChars="200"/>
              <w:jc w:val="both"/>
              <w:textAlignment w:val="auto"/>
              <w:rPr>
                <w:rFonts w:eastAsia="仿宋"/>
                <w:color w:val="auto"/>
              </w:rPr>
            </w:pPr>
            <w:r>
              <w:rPr>
                <w:rFonts w:eastAsia="仿宋"/>
                <w:color w:val="auto"/>
              </w:rPr>
              <w:t>项目施工场地开阔，风速较大，有利于污染物的稀释扩散，所以不会对当地的环境空气质量造成不良的影响。</w:t>
            </w:r>
          </w:p>
          <w:p w14:paraId="296C61EB">
            <w:pPr>
              <w:keepNext w:val="0"/>
              <w:keepLines w:val="0"/>
              <w:pageBreakBefore w:val="0"/>
              <w:widowControl w:val="0"/>
              <w:wordWrap/>
              <w:topLinePunct w:val="0"/>
              <w:autoSpaceDE w:val="0"/>
              <w:autoSpaceDN w:val="0"/>
              <w:bidi w:val="0"/>
              <w:adjustRightInd w:val="0"/>
              <w:snapToGrid w:val="0"/>
              <w:spacing w:line="500" w:lineRule="exact"/>
              <w:ind w:firstLine="480" w:firstLineChars="200"/>
              <w:jc w:val="both"/>
              <w:textAlignment w:val="auto"/>
              <w:rPr>
                <w:rFonts w:eastAsia="仿宋"/>
                <w:color w:val="auto"/>
              </w:rPr>
            </w:pPr>
            <w:r>
              <w:rPr>
                <w:rFonts w:hint="eastAsia" w:eastAsia="仿宋"/>
                <w:color w:val="auto"/>
              </w:rPr>
              <w:t>由验收监测期间</w:t>
            </w:r>
            <w:r>
              <w:rPr>
                <w:rFonts w:hint="eastAsia" w:eastAsia="仿宋"/>
                <w:color w:val="auto"/>
                <w:lang w:val="en-US" w:eastAsia="zh-CN"/>
              </w:rPr>
              <w:t>检测结果可知</w:t>
            </w:r>
            <w:r>
              <w:rPr>
                <w:rFonts w:hint="eastAsia" w:eastAsia="仿宋"/>
                <w:color w:val="auto"/>
              </w:rPr>
              <w:t>，</w:t>
            </w:r>
            <w:r>
              <w:rPr>
                <w:rFonts w:hint="eastAsia" w:eastAsia="仿宋"/>
                <w:color w:val="auto"/>
                <w:lang w:val="en-US" w:eastAsia="zh-CN"/>
              </w:rPr>
              <w:t>项目运营期</w:t>
            </w:r>
            <w:r>
              <w:rPr>
                <w:rFonts w:hint="eastAsia" w:eastAsia="仿宋"/>
                <w:color w:val="auto"/>
              </w:rPr>
              <w:t>管线及配套泵组、紧急切断阀等设备的密封点无组织废气</w:t>
            </w:r>
            <w:r>
              <w:rPr>
                <w:rFonts w:hint="eastAsia" w:eastAsia="仿宋"/>
                <w:color w:val="auto"/>
                <w:lang w:val="en-US" w:eastAsia="zh-CN"/>
              </w:rPr>
              <w:t>非甲烷总烃能够</w:t>
            </w:r>
            <w:r>
              <w:rPr>
                <w:rFonts w:hint="eastAsia" w:eastAsia="仿宋"/>
                <w:color w:val="auto"/>
              </w:rPr>
              <w:t>满足《挥发性有机物无组织排放控制标准》（GB37822-2019）中表A.1及《大气污染物综合排放标准》（DB32/4041-2021）表3单位边界大气污染物排放监控浓度限值要求。</w:t>
            </w:r>
          </w:p>
          <w:p w14:paraId="5D75BE61">
            <w:pPr>
              <w:keepNext w:val="0"/>
              <w:keepLines w:val="0"/>
              <w:pageBreakBefore w:val="0"/>
              <w:widowControl w:val="0"/>
              <w:wordWrap/>
              <w:topLinePunct w:val="0"/>
              <w:autoSpaceDE w:val="0"/>
              <w:autoSpaceDN w:val="0"/>
              <w:bidi w:val="0"/>
              <w:adjustRightInd w:val="0"/>
              <w:snapToGrid w:val="0"/>
              <w:spacing w:line="500" w:lineRule="exact"/>
              <w:ind w:firstLine="480" w:firstLineChars="200"/>
              <w:jc w:val="both"/>
              <w:textAlignment w:val="auto"/>
              <w:rPr>
                <w:rFonts w:eastAsia="仿宋"/>
                <w:color w:val="auto"/>
              </w:rPr>
            </w:pPr>
            <w:r>
              <w:rPr>
                <w:rFonts w:hint="eastAsia" w:eastAsia="仿宋"/>
                <w:color w:val="auto"/>
              </w:rPr>
              <w:t>（5）</w:t>
            </w:r>
            <w:r>
              <w:rPr>
                <w:rFonts w:eastAsia="仿宋"/>
                <w:color w:val="auto"/>
              </w:rPr>
              <w:t>固体废弃物影响调查结论</w:t>
            </w:r>
          </w:p>
          <w:p w14:paraId="01E5781B">
            <w:pPr>
              <w:keepNext w:val="0"/>
              <w:keepLines w:val="0"/>
              <w:pageBreakBefore w:val="0"/>
              <w:widowControl w:val="0"/>
              <w:wordWrap/>
              <w:topLinePunct w:val="0"/>
              <w:autoSpaceDE w:val="0"/>
              <w:autoSpaceDN w:val="0"/>
              <w:bidi w:val="0"/>
              <w:adjustRightInd w:val="0"/>
              <w:snapToGrid w:val="0"/>
              <w:spacing w:line="500" w:lineRule="exact"/>
              <w:ind w:firstLine="480" w:firstLineChars="200"/>
              <w:jc w:val="both"/>
              <w:textAlignment w:val="auto"/>
              <w:rPr>
                <w:rFonts w:hint="eastAsia" w:eastAsia="仿宋"/>
                <w:color w:val="auto"/>
              </w:rPr>
            </w:pPr>
            <w:r>
              <w:rPr>
                <w:rFonts w:hint="eastAsia" w:eastAsia="仿宋"/>
                <w:color w:val="auto"/>
              </w:rPr>
              <w:t>施工期间产生的固体废物主要为施工人员的生活垃圾、清管废渣、废油漆桶、废焊条。少量生活垃圾经收集后由当地环卫部门清运；首次清管作业产生的废渣产生量较小，属于一般固废，由施工单位收集后委外处理；建筑垃圾及时清运出场至建筑垃圾回收单位；废油漆桶交由</w:t>
            </w:r>
            <w:r>
              <w:rPr>
                <w:rFonts w:hint="eastAsia" w:eastAsia="仿宋"/>
                <w:color w:val="auto"/>
                <w:lang w:val="en-US" w:eastAsia="zh-CN"/>
              </w:rPr>
              <w:t>淮安华科环保科技有限公司处置，危废转移联单见附件5</w:t>
            </w:r>
            <w:r>
              <w:rPr>
                <w:rFonts w:hint="eastAsia" w:eastAsia="仿宋"/>
                <w:color w:val="auto"/>
              </w:rPr>
              <w:t>。</w:t>
            </w:r>
          </w:p>
          <w:p w14:paraId="742E9682">
            <w:pPr>
              <w:keepNext w:val="0"/>
              <w:keepLines w:val="0"/>
              <w:pageBreakBefore w:val="0"/>
              <w:widowControl w:val="0"/>
              <w:wordWrap/>
              <w:topLinePunct w:val="0"/>
              <w:autoSpaceDE w:val="0"/>
              <w:autoSpaceDN w:val="0"/>
              <w:bidi w:val="0"/>
              <w:adjustRightInd w:val="0"/>
              <w:snapToGrid w:val="0"/>
              <w:spacing w:line="500" w:lineRule="exact"/>
              <w:ind w:firstLine="480" w:firstLineChars="200"/>
              <w:jc w:val="both"/>
              <w:textAlignment w:val="auto"/>
              <w:rPr>
                <w:rFonts w:eastAsia="仿宋"/>
                <w:color w:val="auto"/>
              </w:rPr>
            </w:pPr>
            <w:r>
              <w:rPr>
                <w:rFonts w:eastAsia="仿宋"/>
                <w:color w:val="auto"/>
              </w:rPr>
              <w:t>2、建议</w:t>
            </w:r>
          </w:p>
          <w:p w14:paraId="2182D170">
            <w:pPr>
              <w:keepNext w:val="0"/>
              <w:keepLines w:val="0"/>
              <w:pageBreakBefore w:val="0"/>
              <w:widowControl w:val="0"/>
              <w:wordWrap/>
              <w:topLinePunct w:val="0"/>
              <w:autoSpaceDE w:val="0"/>
              <w:autoSpaceDN w:val="0"/>
              <w:bidi w:val="0"/>
              <w:adjustRightInd w:val="0"/>
              <w:snapToGrid w:val="0"/>
              <w:spacing w:line="500" w:lineRule="exact"/>
              <w:ind w:firstLine="480" w:firstLineChars="200"/>
              <w:jc w:val="both"/>
              <w:textAlignment w:val="auto"/>
              <w:rPr>
                <w:rFonts w:eastAsia="仿宋"/>
                <w:color w:val="auto"/>
              </w:rPr>
            </w:pPr>
            <w:r>
              <w:rPr>
                <w:rFonts w:eastAsia="仿宋"/>
                <w:color w:val="auto"/>
              </w:rPr>
              <w:t xml:space="preserve">加强职工环保教育，进一步提高全员环保意识，保证应急组织不缺员，应急措施稳定有效。 </w:t>
            </w:r>
          </w:p>
        </w:tc>
      </w:tr>
    </w:tbl>
    <w:p w14:paraId="4B8B5AF6">
      <w:pPr>
        <w:rPr>
          <w:color w:val="auto"/>
        </w:rPr>
      </w:pPr>
    </w:p>
    <w:p w14:paraId="3F632130">
      <w:pPr>
        <w:pStyle w:val="14"/>
        <w:kinsoku w:val="0"/>
        <w:overflowPunct w:val="0"/>
        <w:spacing w:before="74"/>
        <w:ind w:left="102"/>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注   释</w:t>
      </w:r>
    </w:p>
    <w:p w14:paraId="71C3E2B5">
      <w:pPr>
        <w:pStyle w:val="14"/>
        <w:kinsoku w:val="0"/>
        <w:overflowPunct w:val="0"/>
        <w:adjustRightInd/>
        <w:spacing w:line="360" w:lineRule="auto"/>
        <w:ind w:firstLine="480" w:firstLineChars="200"/>
        <w:jc w:val="both"/>
        <w:rPr>
          <w:rFonts w:hint="default" w:ascii="仿宋" w:hAnsi="仿宋" w:eastAsia="仿宋" w:cs="仿宋"/>
          <w:color w:val="auto"/>
          <w:lang w:val="en-US" w:eastAsia="zh-CN"/>
        </w:rPr>
      </w:pPr>
      <w:r>
        <w:rPr>
          <w:rFonts w:hint="eastAsia" w:ascii="仿宋" w:hAnsi="仿宋" w:eastAsia="仿宋" w:cs="仿宋"/>
          <w:color w:val="auto"/>
        </w:rPr>
        <w:t xml:space="preserve">附图1 </w:t>
      </w:r>
      <w:r>
        <w:rPr>
          <w:rFonts w:hint="eastAsia" w:ascii="仿宋" w:hAnsi="仿宋" w:eastAsia="仿宋" w:cs="仿宋"/>
          <w:color w:val="auto"/>
          <w:lang w:val="en-US" w:eastAsia="zh-CN"/>
        </w:rPr>
        <w:t>徐圩新区石化公共管廊规划图及管线路由图</w:t>
      </w:r>
    </w:p>
    <w:p w14:paraId="101C697C">
      <w:pPr>
        <w:pStyle w:val="14"/>
        <w:kinsoku w:val="0"/>
        <w:overflowPunct w:val="0"/>
        <w:adjustRightInd/>
        <w:spacing w:line="360" w:lineRule="auto"/>
        <w:ind w:firstLine="480" w:firstLineChars="200"/>
        <w:jc w:val="both"/>
        <w:rPr>
          <w:rFonts w:hint="default" w:ascii="仿宋" w:hAnsi="仿宋" w:eastAsia="仿宋" w:cs="仿宋"/>
          <w:color w:val="auto"/>
          <w:lang w:val="en-US" w:eastAsia="zh-CN"/>
        </w:rPr>
      </w:pPr>
      <w:r>
        <w:rPr>
          <w:rFonts w:hint="eastAsia" w:ascii="仿宋" w:hAnsi="仿宋" w:eastAsia="仿宋" w:cs="仿宋"/>
          <w:color w:val="auto"/>
        </w:rPr>
        <w:t xml:space="preserve">附图2 </w:t>
      </w:r>
      <w:r>
        <w:rPr>
          <w:rFonts w:hint="eastAsia" w:ascii="仿宋" w:hAnsi="仿宋" w:eastAsia="仿宋" w:cs="仿宋"/>
          <w:color w:val="auto"/>
          <w:lang w:val="en-US" w:eastAsia="zh-CN"/>
        </w:rPr>
        <w:t>本项目输送管线路由示意图</w:t>
      </w:r>
    </w:p>
    <w:p w14:paraId="099439C1">
      <w:pPr>
        <w:pStyle w:val="14"/>
        <w:kinsoku w:val="0"/>
        <w:overflowPunct w:val="0"/>
        <w:adjustRightInd/>
        <w:spacing w:line="360" w:lineRule="auto"/>
        <w:ind w:firstLine="480" w:firstLineChars="200"/>
        <w:jc w:val="both"/>
        <w:rPr>
          <w:rFonts w:hint="eastAsia" w:ascii="仿宋" w:hAnsi="仿宋" w:eastAsia="仿宋" w:cs="仿宋"/>
          <w:color w:val="auto"/>
        </w:rPr>
      </w:pPr>
      <w:r>
        <w:rPr>
          <w:rFonts w:hint="eastAsia" w:ascii="仿宋" w:hAnsi="仿宋" w:eastAsia="仿宋" w:cs="仿宋"/>
          <w:color w:val="auto"/>
        </w:rPr>
        <w:t>附件1 环评影响评价报告表批复文件</w:t>
      </w:r>
    </w:p>
    <w:p w14:paraId="2D268FE3">
      <w:pPr>
        <w:pStyle w:val="14"/>
        <w:kinsoku w:val="0"/>
        <w:overflowPunct w:val="0"/>
        <w:adjustRightInd/>
        <w:spacing w:line="360" w:lineRule="auto"/>
        <w:ind w:firstLine="480" w:firstLineChars="200"/>
        <w:jc w:val="both"/>
        <w:rPr>
          <w:rFonts w:hint="eastAsia" w:ascii="仿宋" w:hAnsi="仿宋" w:eastAsia="仿宋" w:cs="仿宋"/>
          <w:color w:val="auto"/>
        </w:rPr>
      </w:pPr>
      <w:r>
        <w:rPr>
          <w:rFonts w:hint="eastAsia" w:ascii="仿宋" w:hAnsi="仿宋" w:eastAsia="仿宋" w:cs="仿宋"/>
          <w:color w:val="auto"/>
        </w:rPr>
        <w:t>附件2 应急预案备案表</w:t>
      </w:r>
    </w:p>
    <w:p w14:paraId="6A0AE1AD">
      <w:pPr>
        <w:pStyle w:val="14"/>
        <w:kinsoku w:val="0"/>
        <w:overflowPunct w:val="0"/>
        <w:adjustRightInd/>
        <w:spacing w:line="360" w:lineRule="auto"/>
        <w:ind w:firstLine="480" w:firstLineChars="200"/>
        <w:jc w:val="both"/>
        <w:rPr>
          <w:rFonts w:hint="eastAsia" w:ascii="仿宋" w:hAnsi="仿宋" w:eastAsia="仿宋" w:cs="仿宋"/>
          <w:color w:val="auto"/>
        </w:rPr>
      </w:pPr>
      <w:r>
        <w:rPr>
          <w:rFonts w:hint="eastAsia" w:ascii="仿宋" w:hAnsi="仿宋" w:eastAsia="仿宋" w:cs="仿宋"/>
          <w:color w:val="auto"/>
        </w:rPr>
        <w:t xml:space="preserve">附件3 </w:t>
      </w:r>
      <w:r>
        <w:rPr>
          <w:rFonts w:hint="eastAsia" w:ascii="仿宋" w:hAnsi="仿宋" w:eastAsia="仿宋" w:cs="仿宋"/>
          <w:color w:val="auto"/>
          <w:lang w:val="en-US" w:eastAsia="zh-CN"/>
        </w:rPr>
        <w:t>运营期</w:t>
      </w:r>
      <w:r>
        <w:rPr>
          <w:rFonts w:hint="eastAsia" w:ascii="仿宋" w:hAnsi="仿宋" w:eastAsia="仿宋" w:cs="仿宋"/>
          <w:color w:val="auto"/>
        </w:rPr>
        <w:t>检测报告</w:t>
      </w:r>
    </w:p>
    <w:p w14:paraId="1DD8E447">
      <w:pPr>
        <w:pStyle w:val="14"/>
        <w:kinsoku w:val="0"/>
        <w:overflowPunct w:val="0"/>
        <w:adjustRightInd/>
        <w:spacing w:line="360" w:lineRule="auto"/>
        <w:ind w:firstLine="480" w:firstLineChars="200"/>
        <w:jc w:val="both"/>
        <w:rPr>
          <w:rFonts w:hint="default" w:ascii="仿宋" w:hAnsi="仿宋" w:eastAsia="仿宋" w:cs="仿宋"/>
          <w:color w:val="auto"/>
          <w:lang w:val="en-US" w:eastAsia="zh-CN"/>
        </w:rPr>
      </w:pPr>
      <w:r>
        <w:rPr>
          <w:rFonts w:hint="eastAsia" w:ascii="仿宋" w:hAnsi="仿宋" w:eastAsia="仿宋" w:cs="仿宋"/>
          <w:color w:val="auto"/>
          <w:lang w:val="en-US" w:eastAsia="zh-CN"/>
        </w:rPr>
        <w:t>附件4 污水处置协议</w:t>
      </w:r>
    </w:p>
    <w:p w14:paraId="5728ECF4">
      <w:pPr>
        <w:pStyle w:val="14"/>
        <w:kinsoku w:val="0"/>
        <w:overflowPunct w:val="0"/>
        <w:adjustRightInd/>
        <w:spacing w:line="360" w:lineRule="auto"/>
        <w:ind w:firstLine="480" w:firstLineChars="200"/>
        <w:jc w:val="both"/>
        <w:rPr>
          <w:rFonts w:hint="eastAsia" w:ascii="仿宋" w:hAnsi="仿宋" w:eastAsia="仿宋" w:cs="仿宋"/>
          <w:color w:val="auto"/>
        </w:rPr>
      </w:pPr>
      <w:r>
        <w:rPr>
          <w:rFonts w:hint="eastAsia" w:ascii="仿宋" w:hAnsi="仿宋" w:eastAsia="仿宋" w:cs="仿宋"/>
          <w:color w:val="auto"/>
        </w:rPr>
        <w:t>附件</w:t>
      </w:r>
      <w:r>
        <w:rPr>
          <w:rFonts w:hint="eastAsia" w:ascii="仿宋" w:hAnsi="仿宋" w:eastAsia="仿宋" w:cs="仿宋"/>
          <w:color w:val="auto"/>
          <w:lang w:val="en-US" w:eastAsia="zh-CN"/>
        </w:rPr>
        <w:t>5</w:t>
      </w:r>
      <w:r>
        <w:rPr>
          <w:rFonts w:hint="eastAsia" w:ascii="仿宋" w:hAnsi="仿宋" w:eastAsia="仿宋" w:cs="仿宋"/>
          <w:color w:val="auto"/>
        </w:rPr>
        <w:t xml:space="preserve"> 施工期危险废物转运联单</w:t>
      </w:r>
    </w:p>
    <w:p w14:paraId="3DA9954D">
      <w:pPr>
        <w:pStyle w:val="14"/>
        <w:kinsoku w:val="0"/>
        <w:overflowPunct w:val="0"/>
        <w:adjustRightInd/>
        <w:spacing w:line="360" w:lineRule="auto"/>
        <w:ind w:firstLine="480" w:firstLineChars="200"/>
        <w:jc w:val="both"/>
        <w:rPr>
          <w:rFonts w:hint="default" w:ascii="仿宋" w:hAnsi="仿宋" w:eastAsia="仿宋" w:cs="仿宋"/>
          <w:color w:val="auto"/>
          <w:lang w:val="en-US" w:eastAsia="zh-CN"/>
        </w:rPr>
      </w:pPr>
      <w:r>
        <w:rPr>
          <w:rFonts w:hint="eastAsia" w:ascii="仿宋" w:hAnsi="仿宋" w:eastAsia="仿宋" w:cs="仿宋"/>
          <w:color w:val="auto"/>
          <w:lang w:val="en-US" w:eastAsia="zh-CN"/>
        </w:rPr>
        <w:t>附件6 应急演练</w:t>
      </w:r>
    </w:p>
    <w:p w14:paraId="214D016F">
      <w:pPr>
        <w:pStyle w:val="14"/>
        <w:kinsoku w:val="0"/>
        <w:overflowPunct w:val="0"/>
        <w:adjustRightInd/>
        <w:spacing w:line="360" w:lineRule="auto"/>
        <w:ind w:firstLine="480" w:firstLineChars="200"/>
        <w:jc w:val="both"/>
        <w:rPr>
          <w:rFonts w:hint="eastAsia" w:ascii="仿宋" w:hAnsi="仿宋" w:eastAsia="仿宋" w:cs="仿宋"/>
          <w:color w:val="auto"/>
        </w:rPr>
      </w:pPr>
    </w:p>
    <w:p w14:paraId="7B917ABA">
      <w:pPr>
        <w:pStyle w:val="14"/>
        <w:kinsoku w:val="0"/>
        <w:overflowPunct w:val="0"/>
        <w:adjustRightInd/>
        <w:spacing w:line="360" w:lineRule="auto"/>
        <w:ind w:firstLine="480" w:firstLineChars="200"/>
        <w:jc w:val="both"/>
        <w:rPr>
          <w:rFonts w:hint="eastAsia" w:ascii="仿宋" w:hAnsi="仿宋" w:eastAsia="仿宋" w:cs="仿宋"/>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EE0846E">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both"/>
        <w:textAlignment w:val="auto"/>
        <w:outlineLvl w:val="0"/>
        <w:rPr>
          <w:rFonts w:hint="eastAsia" w:ascii="仿宋" w:hAnsi="仿宋" w:eastAsia="仿宋" w:cs="仿宋"/>
          <w:b/>
          <w:bCs/>
          <w:color w:val="auto"/>
        </w:rPr>
      </w:pPr>
      <w:r>
        <w:rPr>
          <w:rFonts w:hint="eastAsia" w:ascii="仿宋" w:hAnsi="仿宋" w:eastAsia="仿宋" w:cs="仿宋"/>
          <w:b/>
          <w:bCs/>
          <w:color w:val="auto"/>
        </w:rPr>
        <w:t>附件1 环评影响评价报告表批复文件</w:t>
      </w:r>
    </w:p>
    <w:p w14:paraId="78F9569F">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center"/>
        <w:textAlignment w:val="auto"/>
        <w:rPr>
          <w:color w:val="auto"/>
        </w:rPr>
      </w:pPr>
      <w:r>
        <w:rPr>
          <w:color w:val="auto"/>
        </w:rPr>
        <w:drawing>
          <wp:inline distT="0" distB="0" distL="114300" distR="114300">
            <wp:extent cx="5801360" cy="8507730"/>
            <wp:effectExtent l="0" t="0" r="8890" b="7620"/>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18"/>
                    <a:stretch>
                      <a:fillRect/>
                    </a:stretch>
                  </pic:blipFill>
                  <pic:spPr>
                    <a:xfrm>
                      <a:off x="0" y="0"/>
                      <a:ext cx="5801360" cy="8507730"/>
                    </a:xfrm>
                    <a:prstGeom prst="rect">
                      <a:avLst/>
                    </a:prstGeom>
                    <a:noFill/>
                    <a:ln>
                      <a:noFill/>
                    </a:ln>
                  </pic:spPr>
                </pic:pic>
              </a:graphicData>
            </a:graphic>
          </wp:inline>
        </w:drawing>
      </w:r>
    </w:p>
    <w:p w14:paraId="1088C060">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center"/>
        <w:textAlignment w:val="auto"/>
        <w:rPr>
          <w:color w:val="auto"/>
        </w:rPr>
      </w:pPr>
      <w:r>
        <w:rPr>
          <w:color w:val="auto"/>
        </w:rPr>
        <w:drawing>
          <wp:inline distT="0" distB="0" distL="114300" distR="114300">
            <wp:extent cx="5782945" cy="8749665"/>
            <wp:effectExtent l="0" t="0" r="8255" b="13335"/>
            <wp:docPr id="2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
                    <pic:cNvPicPr>
                      <a:picLocks noChangeAspect="1"/>
                    </pic:cNvPicPr>
                  </pic:nvPicPr>
                  <pic:blipFill>
                    <a:blip r:embed="rId19"/>
                    <a:srcRect t="3563"/>
                    <a:stretch>
                      <a:fillRect/>
                    </a:stretch>
                  </pic:blipFill>
                  <pic:spPr>
                    <a:xfrm>
                      <a:off x="0" y="0"/>
                      <a:ext cx="5782945" cy="8749665"/>
                    </a:xfrm>
                    <a:prstGeom prst="rect">
                      <a:avLst/>
                    </a:prstGeom>
                    <a:noFill/>
                    <a:ln>
                      <a:noFill/>
                    </a:ln>
                  </pic:spPr>
                </pic:pic>
              </a:graphicData>
            </a:graphic>
          </wp:inline>
        </w:drawing>
      </w:r>
    </w:p>
    <w:p w14:paraId="28426096">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center"/>
        <w:textAlignment w:val="auto"/>
        <w:rPr>
          <w:color w:val="auto"/>
        </w:rPr>
      </w:pPr>
      <w:r>
        <w:rPr>
          <w:color w:val="auto"/>
        </w:rPr>
        <w:drawing>
          <wp:inline distT="0" distB="0" distL="114300" distR="114300">
            <wp:extent cx="5591175" cy="8788400"/>
            <wp:effectExtent l="0" t="0" r="0" b="0"/>
            <wp:docPr id="2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8"/>
                    <pic:cNvPicPr>
                      <a:picLocks noChangeAspect="1"/>
                    </pic:cNvPicPr>
                  </pic:nvPicPr>
                  <pic:blipFill>
                    <a:blip r:embed="rId20"/>
                    <a:srcRect b="2521"/>
                    <a:stretch>
                      <a:fillRect/>
                    </a:stretch>
                  </pic:blipFill>
                  <pic:spPr>
                    <a:xfrm>
                      <a:off x="0" y="0"/>
                      <a:ext cx="5591175" cy="8788400"/>
                    </a:xfrm>
                    <a:prstGeom prst="rect">
                      <a:avLst/>
                    </a:prstGeom>
                    <a:noFill/>
                    <a:ln>
                      <a:noFill/>
                    </a:ln>
                  </pic:spPr>
                </pic:pic>
              </a:graphicData>
            </a:graphic>
          </wp:inline>
        </w:drawing>
      </w:r>
    </w:p>
    <w:p w14:paraId="291A5A24">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both"/>
        <w:textAlignment w:val="auto"/>
        <w:outlineLvl w:val="0"/>
        <w:rPr>
          <w:rFonts w:hint="eastAsia" w:ascii="仿宋" w:hAnsi="仿宋" w:eastAsia="仿宋" w:cs="仿宋"/>
          <w:b/>
          <w:bCs/>
          <w:color w:val="auto"/>
        </w:rPr>
      </w:pPr>
      <w:r>
        <w:rPr>
          <w:rFonts w:hint="eastAsia" w:ascii="仿宋" w:hAnsi="仿宋" w:eastAsia="仿宋" w:cs="仿宋"/>
          <w:b/>
          <w:bCs/>
          <w:color w:val="auto"/>
        </w:rPr>
        <w:t>附件</w:t>
      </w:r>
      <w:r>
        <w:rPr>
          <w:rFonts w:hint="eastAsia" w:ascii="仿宋" w:hAnsi="仿宋" w:eastAsia="仿宋" w:cs="仿宋"/>
          <w:b/>
          <w:bCs/>
          <w:color w:val="auto"/>
          <w:lang w:val="en-US" w:eastAsia="zh-CN"/>
        </w:rPr>
        <w:t>2</w:t>
      </w:r>
      <w:r>
        <w:rPr>
          <w:rFonts w:hint="eastAsia" w:ascii="仿宋" w:hAnsi="仿宋" w:eastAsia="仿宋" w:cs="仿宋"/>
          <w:b/>
          <w:bCs/>
          <w:color w:val="auto"/>
        </w:rPr>
        <w:t xml:space="preserve"> 应急预案备案表</w:t>
      </w:r>
    </w:p>
    <w:p w14:paraId="56E18766">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center"/>
        <w:textAlignment w:val="auto"/>
        <w:outlineLvl w:val="9"/>
        <w:rPr>
          <w:rFonts w:hint="eastAsia" w:ascii="仿宋" w:hAnsi="仿宋" w:eastAsia="仿宋" w:cs="仿宋"/>
          <w:b/>
          <w:bCs/>
          <w:color w:val="auto"/>
        </w:rPr>
      </w:pPr>
      <w:r>
        <w:rPr>
          <w:color w:val="auto"/>
        </w:rPr>
        <w:drawing>
          <wp:inline distT="0" distB="0" distL="114300" distR="114300">
            <wp:extent cx="5650230" cy="8502650"/>
            <wp:effectExtent l="0" t="0" r="7620" b="12700"/>
            <wp:docPr id="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9"/>
                    <pic:cNvPicPr>
                      <a:picLocks noChangeAspect="1"/>
                    </pic:cNvPicPr>
                  </pic:nvPicPr>
                  <pic:blipFill>
                    <a:blip r:embed="rId21"/>
                    <a:srcRect t="1650" b="1501"/>
                    <a:stretch>
                      <a:fillRect/>
                    </a:stretch>
                  </pic:blipFill>
                  <pic:spPr>
                    <a:xfrm>
                      <a:off x="0" y="0"/>
                      <a:ext cx="5650230" cy="8502650"/>
                    </a:xfrm>
                    <a:prstGeom prst="rect">
                      <a:avLst/>
                    </a:prstGeom>
                    <a:noFill/>
                    <a:ln>
                      <a:noFill/>
                    </a:ln>
                  </pic:spPr>
                </pic:pic>
              </a:graphicData>
            </a:graphic>
          </wp:inline>
        </w:drawing>
      </w:r>
    </w:p>
    <w:p w14:paraId="0CD5B550">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both"/>
        <w:textAlignment w:val="auto"/>
        <w:outlineLvl w:val="0"/>
        <w:rPr>
          <w:rFonts w:hint="eastAsia" w:ascii="Times New Roman" w:hAnsi="Times New Roman" w:eastAsia="仿宋" w:cs="Times New Roman"/>
          <w:b/>
          <w:bCs/>
          <w:color w:val="auto"/>
        </w:rPr>
      </w:pPr>
      <w:r>
        <w:rPr>
          <w:rFonts w:hint="eastAsia" w:ascii="Times New Roman" w:hAnsi="Times New Roman" w:eastAsia="仿宋" w:cs="Times New Roman"/>
          <w:b/>
          <w:bCs/>
          <w:color w:val="auto"/>
        </w:rPr>
        <w:t>附件</w:t>
      </w:r>
      <w:r>
        <w:rPr>
          <w:rFonts w:hint="eastAsia" w:eastAsia="仿宋" w:cs="Times New Roman"/>
          <w:b/>
          <w:bCs/>
          <w:color w:val="auto"/>
          <w:lang w:val="en-US" w:eastAsia="zh-CN"/>
        </w:rPr>
        <w:t>3</w:t>
      </w:r>
      <w:r>
        <w:rPr>
          <w:rFonts w:hint="eastAsia" w:ascii="Times New Roman" w:hAnsi="Times New Roman" w:eastAsia="仿宋" w:cs="Times New Roman"/>
          <w:b/>
          <w:bCs/>
          <w:color w:val="auto"/>
        </w:rPr>
        <w:t xml:space="preserve"> </w:t>
      </w:r>
      <w:r>
        <w:rPr>
          <w:rFonts w:hint="eastAsia" w:ascii="Times New Roman" w:hAnsi="Times New Roman" w:eastAsia="仿宋" w:cs="Times New Roman"/>
          <w:b/>
          <w:bCs/>
          <w:color w:val="auto"/>
          <w:lang w:val="en-US" w:eastAsia="zh-CN"/>
        </w:rPr>
        <w:t>运营期</w:t>
      </w:r>
      <w:r>
        <w:rPr>
          <w:rFonts w:hint="eastAsia" w:ascii="Times New Roman" w:hAnsi="Times New Roman" w:eastAsia="仿宋" w:cs="Times New Roman"/>
          <w:b/>
          <w:bCs/>
          <w:color w:val="auto"/>
        </w:rPr>
        <w:t>检测报告</w:t>
      </w:r>
    </w:p>
    <w:p w14:paraId="79436D69">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both"/>
        <w:textAlignment w:val="auto"/>
        <w:outlineLvl w:val="9"/>
        <w:rPr>
          <w:color w:val="auto"/>
        </w:rPr>
      </w:pPr>
      <w:r>
        <w:rPr>
          <w:color w:val="auto"/>
        </w:rPr>
        <w:drawing>
          <wp:inline distT="0" distB="0" distL="114300" distR="114300">
            <wp:extent cx="5986145" cy="8500110"/>
            <wp:effectExtent l="0" t="0" r="14605" b="15240"/>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22"/>
                    <a:stretch>
                      <a:fillRect/>
                    </a:stretch>
                  </pic:blipFill>
                  <pic:spPr>
                    <a:xfrm>
                      <a:off x="0" y="0"/>
                      <a:ext cx="5986145" cy="8500110"/>
                    </a:xfrm>
                    <a:prstGeom prst="rect">
                      <a:avLst/>
                    </a:prstGeom>
                    <a:noFill/>
                    <a:ln>
                      <a:noFill/>
                    </a:ln>
                  </pic:spPr>
                </pic:pic>
              </a:graphicData>
            </a:graphic>
          </wp:inline>
        </w:drawing>
      </w:r>
      <w:r>
        <w:rPr>
          <w:color w:val="auto"/>
        </w:rPr>
        <w:drawing>
          <wp:inline distT="0" distB="0" distL="114300" distR="114300">
            <wp:extent cx="6113780" cy="8703945"/>
            <wp:effectExtent l="0" t="0" r="1270" b="1905"/>
            <wp:docPr id="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pic:cNvPicPr>
                      <a:picLocks noChangeAspect="1"/>
                    </pic:cNvPicPr>
                  </pic:nvPicPr>
                  <pic:blipFill>
                    <a:blip r:embed="rId23"/>
                    <a:stretch>
                      <a:fillRect/>
                    </a:stretch>
                  </pic:blipFill>
                  <pic:spPr>
                    <a:xfrm>
                      <a:off x="0" y="0"/>
                      <a:ext cx="6113780" cy="8703945"/>
                    </a:xfrm>
                    <a:prstGeom prst="rect">
                      <a:avLst/>
                    </a:prstGeom>
                    <a:noFill/>
                    <a:ln>
                      <a:noFill/>
                    </a:ln>
                  </pic:spPr>
                </pic:pic>
              </a:graphicData>
            </a:graphic>
          </wp:inline>
        </w:drawing>
      </w:r>
      <w:r>
        <w:rPr>
          <w:color w:val="auto"/>
        </w:rPr>
        <w:drawing>
          <wp:inline distT="0" distB="0" distL="114300" distR="114300">
            <wp:extent cx="6119495" cy="8749030"/>
            <wp:effectExtent l="0" t="0" r="14605" b="13970"/>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24"/>
                    <a:stretch>
                      <a:fillRect/>
                    </a:stretch>
                  </pic:blipFill>
                  <pic:spPr>
                    <a:xfrm>
                      <a:off x="0" y="0"/>
                      <a:ext cx="6119495" cy="8749030"/>
                    </a:xfrm>
                    <a:prstGeom prst="rect">
                      <a:avLst/>
                    </a:prstGeom>
                    <a:noFill/>
                    <a:ln>
                      <a:noFill/>
                    </a:ln>
                  </pic:spPr>
                </pic:pic>
              </a:graphicData>
            </a:graphic>
          </wp:inline>
        </w:drawing>
      </w:r>
      <w:r>
        <w:rPr>
          <w:color w:val="auto"/>
        </w:rPr>
        <w:drawing>
          <wp:inline distT="0" distB="0" distL="114300" distR="114300">
            <wp:extent cx="6117590" cy="8790940"/>
            <wp:effectExtent l="0" t="0" r="16510" b="10160"/>
            <wp:docPr id="3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5"/>
                    <pic:cNvPicPr>
                      <a:picLocks noChangeAspect="1"/>
                    </pic:cNvPicPr>
                  </pic:nvPicPr>
                  <pic:blipFill>
                    <a:blip r:embed="rId25"/>
                    <a:stretch>
                      <a:fillRect/>
                    </a:stretch>
                  </pic:blipFill>
                  <pic:spPr>
                    <a:xfrm>
                      <a:off x="0" y="0"/>
                      <a:ext cx="6117590" cy="8790940"/>
                    </a:xfrm>
                    <a:prstGeom prst="rect">
                      <a:avLst/>
                    </a:prstGeom>
                    <a:noFill/>
                    <a:ln>
                      <a:noFill/>
                    </a:ln>
                  </pic:spPr>
                </pic:pic>
              </a:graphicData>
            </a:graphic>
          </wp:inline>
        </w:drawing>
      </w:r>
      <w:r>
        <w:rPr>
          <w:color w:val="auto"/>
        </w:rPr>
        <w:drawing>
          <wp:inline distT="0" distB="0" distL="114300" distR="114300">
            <wp:extent cx="6115685" cy="9014460"/>
            <wp:effectExtent l="0" t="0" r="18415" b="15240"/>
            <wp:docPr id="3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6"/>
                    <pic:cNvPicPr>
                      <a:picLocks noChangeAspect="1"/>
                    </pic:cNvPicPr>
                  </pic:nvPicPr>
                  <pic:blipFill>
                    <a:blip r:embed="rId26"/>
                    <a:stretch>
                      <a:fillRect/>
                    </a:stretch>
                  </pic:blipFill>
                  <pic:spPr>
                    <a:xfrm>
                      <a:off x="0" y="0"/>
                      <a:ext cx="6115685" cy="9014460"/>
                    </a:xfrm>
                    <a:prstGeom prst="rect">
                      <a:avLst/>
                    </a:prstGeom>
                    <a:noFill/>
                    <a:ln>
                      <a:noFill/>
                    </a:ln>
                  </pic:spPr>
                </pic:pic>
              </a:graphicData>
            </a:graphic>
          </wp:inline>
        </w:drawing>
      </w:r>
      <w:r>
        <w:rPr>
          <w:color w:val="auto"/>
        </w:rPr>
        <w:drawing>
          <wp:inline distT="0" distB="0" distL="114300" distR="114300">
            <wp:extent cx="6120130" cy="8897620"/>
            <wp:effectExtent l="0" t="0" r="13970" b="17780"/>
            <wp:docPr id="3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7"/>
                    <pic:cNvPicPr>
                      <a:picLocks noChangeAspect="1"/>
                    </pic:cNvPicPr>
                  </pic:nvPicPr>
                  <pic:blipFill>
                    <a:blip r:embed="rId27"/>
                    <a:stretch>
                      <a:fillRect/>
                    </a:stretch>
                  </pic:blipFill>
                  <pic:spPr>
                    <a:xfrm>
                      <a:off x="0" y="0"/>
                      <a:ext cx="6120130" cy="8897620"/>
                    </a:xfrm>
                    <a:prstGeom prst="rect">
                      <a:avLst/>
                    </a:prstGeom>
                    <a:noFill/>
                    <a:ln>
                      <a:noFill/>
                    </a:ln>
                  </pic:spPr>
                </pic:pic>
              </a:graphicData>
            </a:graphic>
          </wp:inline>
        </w:drawing>
      </w:r>
      <w:r>
        <w:rPr>
          <w:color w:val="auto"/>
        </w:rPr>
        <w:drawing>
          <wp:inline distT="0" distB="0" distL="114300" distR="114300">
            <wp:extent cx="6113780" cy="8840470"/>
            <wp:effectExtent l="0" t="0" r="1270" b="17780"/>
            <wp:docPr id="3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8"/>
                    <pic:cNvPicPr>
                      <a:picLocks noChangeAspect="1"/>
                    </pic:cNvPicPr>
                  </pic:nvPicPr>
                  <pic:blipFill>
                    <a:blip r:embed="rId28"/>
                    <a:stretch>
                      <a:fillRect/>
                    </a:stretch>
                  </pic:blipFill>
                  <pic:spPr>
                    <a:xfrm>
                      <a:off x="0" y="0"/>
                      <a:ext cx="6113780" cy="8840470"/>
                    </a:xfrm>
                    <a:prstGeom prst="rect">
                      <a:avLst/>
                    </a:prstGeom>
                    <a:noFill/>
                    <a:ln>
                      <a:noFill/>
                    </a:ln>
                  </pic:spPr>
                </pic:pic>
              </a:graphicData>
            </a:graphic>
          </wp:inline>
        </w:drawing>
      </w:r>
    </w:p>
    <w:p w14:paraId="6D45CC9C">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both"/>
        <w:textAlignment w:val="auto"/>
        <w:outlineLvl w:val="9"/>
        <w:rPr>
          <w:rFonts w:hint="eastAsia"/>
          <w:color w:val="auto"/>
        </w:rPr>
      </w:pPr>
      <w:r>
        <w:rPr>
          <w:color w:val="auto"/>
        </w:rPr>
        <w:drawing>
          <wp:inline distT="0" distB="0" distL="114300" distR="114300">
            <wp:extent cx="6117590" cy="9082405"/>
            <wp:effectExtent l="0" t="0" r="16510" b="4445"/>
            <wp:docPr id="3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9"/>
                    <pic:cNvPicPr>
                      <a:picLocks noChangeAspect="1"/>
                    </pic:cNvPicPr>
                  </pic:nvPicPr>
                  <pic:blipFill>
                    <a:blip r:embed="rId29"/>
                    <a:stretch>
                      <a:fillRect/>
                    </a:stretch>
                  </pic:blipFill>
                  <pic:spPr>
                    <a:xfrm>
                      <a:off x="0" y="0"/>
                      <a:ext cx="6117590" cy="9082405"/>
                    </a:xfrm>
                    <a:prstGeom prst="rect">
                      <a:avLst/>
                    </a:prstGeom>
                    <a:noFill/>
                    <a:ln>
                      <a:noFill/>
                    </a:ln>
                  </pic:spPr>
                </pic:pic>
              </a:graphicData>
            </a:graphic>
          </wp:inline>
        </w:drawing>
      </w:r>
    </w:p>
    <w:p w14:paraId="62C146FB">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both"/>
        <w:textAlignment w:val="auto"/>
        <w:outlineLvl w:val="9"/>
        <w:rPr>
          <w:rFonts w:hint="eastAsia" w:ascii="Times New Roman" w:hAnsi="Times New Roman" w:eastAsia="仿宋" w:cs="Times New Roman"/>
          <w:b/>
          <w:bCs/>
          <w:color w:val="auto"/>
        </w:rPr>
      </w:pPr>
      <w:r>
        <w:rPr>
          <w:color w:val="auto"/>
        </w:rPr>
        <w:drawing>
          <wp:inline distT="0" distB="0" distL="114300" distR="114300">
            <wp:extent cx="6115685" cy="9460230"/>
            <wp:effectExtent l="0" t="0" r="18415" b="7620"/>
            <wp:docPr id="3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0"/>
                    <pic:cNvPicPr>
                      <a:picLocks noChangeAspect="1"/>
                    </pic:cNvPicPr>
                  </pic:nvPicPr>
                  <pic:blipFill>
                    <a:blip r:embed="rId30"/>
                    <a:stretch>
                      <a:fillRect/>
                    </a:stretch>
                  </pic:blipFill>
                  <pic:spPr>
                    <a:xfrm>
                      <a:off x="0" y="0"/>
                      <a:ext cx="6115685" cy="9460230"/>
                    </a:xfrm>
                    <a:prstGeom prst="rect">
                      <a:avLst/>
                    </a:prstGeom>
                    <a:noFill/>
                    <a:ln>
                      <a:noFill/>
                    </a:ln>
                  </pic:spPr>
                </pic:pic>
              </a:graphicData>
            </a:graphic>
          </wp:inline>
        </w:drawing>
      </w:r>
    </w:p>
    <w:p w14:paraId="6457F72B">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both"/>
        <w:textAlignment w:val="auto"/>
        <w:outlineLvl w:val="0"/>
        <w:rPr>
          <w:rFonts w:hint="default" w:ascii="Times New Roman" w:hAnsi="Times New Roman" w:eastAsia="仿宋" w:cs="Times New Roman"/>
          <w:b/>
          <w:bCs/>
          <w:color w:val="auto"/>
          <w:lang w:val="en-US" w:eastAsia="zh-CN"/>
        </w:rPr>
      </w:pPr>
      <w:r>
        <w:rPr>
          <w:rFonts w:hint="eastAsia" w:ascii="Times New Roman" w:hAnsi="Times New Roman" w:eastAsia="仿宋" w:cs="Times New Roman"/>
          <w:b/>
          <w:bCs/>
          <w:color w:val="auto"/>
        </w:rPr>
        <w:t>附件</w:t>
      </w:r>
      <w:r>
        <w:rPr>
          <w:rFonts w:hint="eastAsia" w:eastAsia="仿宋" w:cs="Times New Roman"/>
          <w:b/>
          <w:bCs/>
          <w:color w:val="auto"/>
          <w:lang w:val="en-US" w:eastAsia="zh-CN"/>
        </w:rPr>
        <w:t>4</w:t>
      </w:r>
      <w:r>
        <w:rPr>
          <w:rFonts w:hint="eastAsia" w:ascii="Times New Roman" w:hAnsi="Times New Roman" w:eastAsia="仿宋" w:cs="Times New Roman"/>
          <w:b/>
          <w:bCs/>
          <w:color w:val="auto"/>
        </w:rPr>
        <w:t xml:space="preserve"> </w:t>
      </w:r>
      <w:r>
        <w:rPr>
          <w:rFonts w:hint="eastAsia" w:eastAsia="仿宋" w:cs="Times New Roman"/>
          <w:b/>
          <w:bCs/>
          <w:color w:val="auto"/>
          <w:lang w:val="en-US" w:eastAsia="zh-CN"/>
        </w:rPr>
        <w:t>污水处置协议</w:t>
      </w:r>
    </w:p>
    <w:p w14:paraId="779779E2">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both"/>
        <w:textAlignment w:val="auto"/>
        <w:outlineLvl w:val="9"/>
        <w:rPr>
          <w:color w:val="auto"/>
        </w:rPr>
      </w:pPr>
      <w:r>
        <w:rPr>
          <w:color w:val="auto"/>
        </w:rPr>
        <w:drawing>
          <wp:inline distT="0" distB="0" distL="114300" distR="114300">
            <wp:extent cx="6094095" cy="8467090"/>
            <wp:effectExtent l="0" t="0" r="1905" b="10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1"/>
                    <a:srcRect l="9549" t="5332" b="6824"/>
                    <a:stretch>
                      <a:fillRect/>
                    </a:stretch>
                  </pic:blipFill>
                  <pic:spPr>
                    <a:xfrm>
                      <a:off x="0" y="0"/>
                      <a:ext cx="6094095" cy="8467090"/>
                    </a:xfrm>
                    <a:prstGeom prst="rect">
                      <a:avLst/>
                    </a:prstGeom>
                    <a:noFill/>
                    <a:ln>
                      <a:noFill/>
                    </a:ln>
                  </pic:spPr>
                </pic:pic>
              </a:graphicData>
            </a:graphic>
          </wp:inline>
        </w:drawing>
      </w:r>
    </w:p>
    <w:p w14:paraId="12850984">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center"/>
        <w:textAlignment w:val="auto"/>
        <w:outlineLvl w:val="9"/>
        <w:rPr>
          <w:color w:val="auto"/>
        </w:rPr>
      </w:pPr>
      <w:r>
        <w:rPr>
          <w:color w:val="auto"/>
        </w:rPr>
        <w:drawing>
          <wp:inline distT="0" distB="0" distL="114300" distR="114300">
            <wp:extent cx="5900420" cy="8830310"/>
            <wp:effectExtent l="0" t="0" r="5080" b="889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32"/>
                    <a:srcRect l="8585" t="2480" b="1947"/>
                    <a:stretch>
                      <a:fillRect/>
                    </a:stretch>
                  </pic:blipFill>
                  <pic:spPr>
                    <a:xfrm>
                      <a:off x="0" y="0"/>
                      <a:ext cx="5900420" cy="8830310"/>
                    </a:xfrm>
                    <a:prstGeom prst="rect">
                      <a:avLst/>
                    </a:prstGeom>
                    <a:noFill/>
                    <a:ln>
                      <a:noFill/>
                    </a:ln>
                  </pic:spPr>
                </pic:pic>
              </a:graphicData>
            </a:graphic>
          </wp:inline>
        </w:drawing>
      </w:r>
    </w:p>
    <w:p w14:paraId="38296B24">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both"/>
        <w:textAlignment w:val="auto"/>
        <w:outlineLvl w:val="0"/>
        <w:rPr>
          <w:rFonts w:hint="eastAsia" w:ascii="Times New Roman" w:hAnsi="Times New Roman" w:eastAsia="仿宋" w:cs="Times New Roman"/>
          <w:b/>
          <w:bCs/>
          <w:color w:val="auto"/>
        </w:rPr>
      </w:pPr>
      <w:r>
        <w:rPr>
          <w:rFonts w:hint="eastAsia" w:ascii="Times New Roman" w:hAnsi="Times New Roman" w:eastAsia="仿宋" w:cs="Times New Roman"/>
          <w:b/>
          <w:bCs/>
          <w:color w:val="auto"/>
        </w:rPr>
        <w:t>附件</w:t>
      </w:r>
      <w:r>
        <w:rPr>
          <w:rFonts w:hint="eastAsia" w:eastAsia="仿宋" w:cs="Times New Roman"/>
          <w:b/>
          <w:bCs/>
          <w:color w:val="auto"/>
          <w:lang w:val="en-US" w:eastAsia="zh-CN"/>
        </w:rPr>
        <w:t>5</w:t>
      </w:r>
      <w:r>
        <w:rPr>
          <w:rFonts w:hint="eastAsia" w:ascii="Times New Roman" w:hAnsi="Times New Roman" w:eastAsia="仿宋" w:cs="Times New Roman"/>
          <w:b/>
          <w:bCs/>
          <w:color w:val="auto"/>
        </w:rPr>
        <w:t xml:space="preserve"> 施工期危险废物转运联单</w:t>
      </w:r>
    </w:p>
    <w:p w14:paraId="66FFA4EF">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center"/>
        <w:textAlignment w:val="auto"/>
      </w:pPr>
      <w:r>
        <w:drawing>
          <wp:inline distT="0" distB="0" distL="114300" distR="114300">
            <wp:extent cx="5837555" cy="7898765"/>
            <wp:effectExtent l="0" t="0" r="10795" b="6985"/>
            <wp:docPr id="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pic:cNvPicPr>
                      <a:picLocks noChangeAspect="1"/>
                    </pic:cNvPicPr>
                  </pic:nvPicPr>
                  <pic:blipFill>
                    <a:blip r:embed="rId33"/>
                    <a:stretch>
                      <a:fillRect/>
                    </a:stretch>
                  </pic:blipFill>
                  <pic:spPr>
                    <a:xfrm>
                      <a:off x="0" y="0"/>
                      <a:ext cx="5837555" cy="7898765"/>
                    </a:xfrm>
                    <a:prstGeom prst="rect">
                      <a:avLst/>
                    </a:prstGeom>
                    <a:noFill/>
                    <a:ln>
                      <a:noFill/>
                    </a:ln>
                  </pic:spPr>
                </pic:pic>
              </a:graphicData>
            </a:graphic>
          </wp:inline>
        </w:drawing>
      </w:r>
    </w:p>
    <w:p w14:paraId="23BABA49">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center"/>
        <w:textAlignment w:val="auto"/>
      </w:pPr>
    </w:p>
    <w:p w14:paraId="47221044">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center"/>
        <w:textAlignment w:val="auto"/>
      </w:pPr>
    </w:p>
    <w:p w14:paraId="1C3775D4">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both"/>
        <w:textAlignment w:val="auto"/>
        <w:outlineLvl w:val="0"/>
        <w:rPr>
          <w:rFonts w:hint="eastAsia" w:eastAsia="仿宋" w:cs="Times New Roman"/>
          <w:b/>
          <w:bCs/>
          <w:color w:val="auto"/>
          <w:lang w:val="en-US" w:eastAsia="zh-CN"/>
        </w:rPr>
      </w:pPr>
      <w:r>
        <w:rPr>
          <w:rFonts w:hint="eastAsia" w:ascii="Times New Roman" w:hAnsi="Times New Roman" w:eastAsia="仿宋" w:cs="Times New Roman"/>
          <w:b/>
          <w:bCs/>
          <w:color w:val="auto"/>
        </w:rPr>
        <w:t>附件</w:t>
      </w:r>
      <w:r>
        <w:rPr>
          <w:rFonts w:hint="eastAsia" w:eastAsia="仿宋" w:cs="Times New Roman"/>
          <w:b/>
          <w:bCs/>
          <w:color w:val="auto"/>
          <w:lang w:val="en-US" w:eastAsia="zh-CN"/>
        </w:rPr>
        <w:t>6</w:t>
      </w:r>
      <w:r>
        <w:rPr>
          <w:rFonts w:hint="eastAsia" w:ascii="Times New Roman" w:hAnsi="Times New Roman" w:eastAsia="仿宋" w:cs="Times New Roman"/>
          <w:b/>
          <w:bCs/>
          <w:color w:val="auto"/>
        </w:rPr>
        <w:t xml:space="preserve"> </w:t>
      </w:r>
      <w:r>
        <w:rPr>
          <w:rFonts w:hint="eastAsia" w:eastAsia="仿宋" w:cs="Times New Roman"/>
          <w:b/>
          <w:bCs/>
          <w:color w:val="auto"/>
          <w:lang w:val="en-US" w:eastAsia="zh-CN"/>
        </w:rPr>
        <w:t>应急演练</w:t>
      </w:r>
    </w:p>
    <w:p w14:paraId="0D0B7427">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both"/>
        <w:textAlignment w:val="auto"/>
        <w:outlineLvl w:val="9"/>
        <w:rPr>
          <w:rFonts w:hint="eastAsia" w:eastAsia="仿宋" w:cs="Times New Roman"/>
          <w:b/>
          <w:bCs/>
          <w:color w:val="auto"/>
          <w:lang w:val="en-US" w:eastAsia="zh-CN"/>
        </w:rPr>
      </w:pPr>
    </w:p>
    <w:p w14:paraId="13BECC39">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both"/>
        <w:textAlignment w:val="auto"/>
        <w:outlineLvl w:val="9"/>
        <w:rPr>
          <w:rFonts w:hint="eastAsia" w:eastAsia="仿宋" w:cs="Times New Roman"/>
          <w:b/>
          <w:bCs/>
          <w:color w:val="auto"/>
          <w:lang w:val="en-US" w:eastAsia="zh-CN"/>
        </w:rPr>
      </w:pPr>
    </w:p>
    <w:p w14:paraId="24883266">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both"/>
        <w:textAlignment w:val="auto"/>
        <w:outlineLvl w:val="9"/>
        <w:rPr>
          <w:rFonts w:hint="default" w:eastAsia="仿宋" w:cs="Times New Roman"/>
          <w:b/>
          <w:bCs/>
          <w:color w:val="auto"/>
          <w:lang w:val="en-US" w:eastAsia="zh-CN"/>
        </w:rPr>
      </w:pPr>
      <w:r>
        <w:drawing>
          <wp:inline distT="0" distB="0" distL="114300" distR="114300">
            <wp:extent cx="5648325" cy="7667625"/>
            <wp:effectExtent l="0" t="0" r="9525" b="952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34"/>
                    <a:stretch>
                      <a:fillRect/>
                    </a:stretch>
                  </pic:blipFill>
                  <pic:spPr>
                    <a:xfrm>
                      <a:off x="0" y="0"/>
                      <a:ext cx="5648325" cy="7667625"/>
                    </a:xfrm>
                    <a:prstGeom prst="rect">
                      <a:avLst/>
                    </a:prstGeom>
                    <a:noFill/>
                    <a:ln>
                      <a:noFill/>
                    </a:ln>
                  </pic:spPr>
                </pic:pic>
              </a:graphicData>
            </a:graphic>
          </wp:inline>
        </w:drawing>
      </w:r>
      <w:r>
        <w:drawing>
          <wp:inline distT="0" distB="0" distL="114300" distR="114300">
            <wp:extent cx="6478270" cy="9109075"/>
            <wp:effectExtent l="0" t="0" r="17780" b="1587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35"/>
                    <a:stretch>
                      <a:fillRect/>
                    </a:stretch>
                  </pic:blipFill>
                  <pic:spPr>
                    <a:xfrm>
                      <a:off x="0" y="0"/>
                      <a:ext cx="6478270" cy="9109075"/>
                    </a:xfrm>
                    <a:prstGeom prst="rect">
                      <a:avLst/>
                    </a:prstGeom>
                    <a:noFill/>
                    <a:ln>
                      <a:noFill/>
                    </a:ln>
                  </pic:spPr>
                </pic:pic>
              </a:graphicData>
            </a:graphic>
          </wp:inline>
        </w:drawing>
      </w:r>
      <w:r>
        <w:drawing>
          <wp:inline distT="0" distB="0" distL="114300" distR="114300">
            <wp:extent cx="6353810" cy="8820150"/>
            <wp:effectExtent l="0" t="0" r="8890" b="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36"/>
                    <a:stretch>
                      <a:fillRect/>
                    </a:stretch>
                  </pic:blipFill>
                  <pic:spPr>
                    <a:xfrm>
                      <a:off x="0" y="0"/>
                      <a:ext cx="6353810" cy="8820150"/>
                    </a:xfrm>
                    <a:prstGeom prst="rect">
                      <a:avLst/>
                    </a:prstGeom>
                    <a:noFill/>
                    <a:ln>
                      <a:noFill/>
                    </a:ln>
                  </pic:spPr>
                </pic:pic>
              </a:graphicData>
            </a:graphic>
          </wp:inline>
        </w:drawing>
      </w:r>
    </w:p>
    <w:p w14:paraId="4ABC6A4F">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both"/>
        <w:textAlignment w:val="auto"/>
        <w:outlineLvl w:val="9"/>
      </w:pPr>
      <w:r>
        <w:drawing>
          <wp:inline distT="0" distB="0" distL="114300" distR="114300">
            <wp:extent cx="6352540" cy="8790940"/>
            <wp:effectExtent l="0" t="0" r="10160" b="1016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37"/>
                    <a:stretch>
                      <a:fillRect/>
                    </a:stretch>
                  </pic:blipFill>
                  <pic:spPr>
                    <a:xfrm>
                      <a:off x="0" y="0"/>
                      <a:ext cx="6352540" cy="8790940"/>
                    </a:xfrm>
                    <a:prstGeom prst="rect">
                      <a:avLst/>
                    </a:prstGeom>
                    <a:noFill/>
                    <a:ln>
                      <a:noFill/>
                    </a:ln>
                  </pic:spPr>
                </pic:pic>
              </a:graphicData>
            </a:graphic>
          </wp:inline>
        </w:drawing>
      </w:r>
      <w:r>
        <w:drawing>
          <wp:inline distT="0" distB="0" distL="114300" distR="114300">
            <wp:extent cx="6244590" cy="8733790"/>
            <wp:effectExtent l="0" t="0" r="3810" b="1016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38"/>
                    <a:stretch>
                      <a:fillRect/>
                    </a:stretch>
                  </pic:blipFill>
                  <pic:spPr>
                    <a:xfrm>
                      <a:off x="0" y="0"/>
                      <a:ext cx="6244590" cy="8733790"/>
                    </a:xfrm>
                    <a:prstGeom prst="rect">
                      <a:avLst/>
                    </a:prstGeom>
                    <a:noFill/>
                    <a:ln>
                      <a:noFill/>
                    </a:ln>
                  </pic:spPr>
                </pic:pic>
              </a:graphicData>
            </a:graphic>
          </wp:inline>
        </w:drawing>
      </w:r>
      <w:r>
        <w:drawing>
          <wp:inline distT="0" distB="0" distL="114300" distR="114300">
            <wp:extent cx="6287135" cy="8390255"/>
            <wp:effectExtent l="0" t="0" r="18415" b="10795"/>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39"/>
                    <a:stretch>
                      <a:fillRect/>
                    </a:stretch>
                  </pic:blipFill>
                  <pic:spPr>
                    <a:xfrm>
                      <a:off x="0" y="0"/>
                      <a:ext cx="6287135" cy="8390255"/>
                    </a:xfrm>
                    <a:prstGeom prst="rect">
                      <a:avLst/>
                    </a:prstGeom>
                    <a:noFill/>
                    <a:ln>
                      <a:noFill/>
                    </a:ln>
                  </pic:spPr>
                </pic:pic>
              </a:graphicData>
            </a:graphic>
          </wp:inline>
        </w:drawing>
      </w:r>
      <w:r>
        <w:drawing>
          <wp:inline distT="0" distB="0" distL="114300" distR="114300">
            <wp:extent cx="6297930" cy="8783955"/>
            <wp:effectExtent l="0" t="0" r="7620" b="17145"/>
            <wp:docPr id="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pic:cNvPicPr>
                      <a:picLocks noChangeAspect="1"/>
                    </pic:cNvPicPr>
                  </pic:nvPicPr>
                  <pic:blipFill>
                    <a:blip r:embed="rId40"/>
                    <a:stretch>
                      <a:fillRect/>
                    </a:stretch>
                  </pic:blipFill>
                  <pic:spPr>
                    <a:xfrm>
                      <a:off x="0" y="0"/>
                      <a:ext cx="6297930" cy="8783955"/>
                    </a:xfrm>
                    <a:prstGeom prst="rect">
                      <a:avLst/>
                    </a:prstGeom>
                    <a:noFill/>
                    <a:ln>
                      <a:noFill/>
                    </a:ln>
                  </pic:spPr>
                </pic:pic>
              </a:graphicData>
            </a:graphic>
          </wp:inline>
        </w:drawing>
      </w:r>
      <w:r>
        <w:drawing>
          <wp:inline distT="0" distB="0" distL="114300" distR="114300">
            <wp:extent cx="6169025" cy="8739505"/>
            <wp:effectExtent l="0" t="0" r="3175" b="4445"/>
            <wp:docPr id="1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
                    <pic:cNvPicPr>
                      <a:picLocks noChangeAspect="1"/>
                    </pic:cNvPicPr>
                  </pic:nvPicPr>
                  <pic:blipFill>
                    <a:blip r:embed="rId41"/>
                    <a:stretch>
                      <a:fillRect/>
                    </a:stretch>
                  </pic:blipFill>
                  <pic:spPr>
                    <a:xfrm>
                      <a:off x="0" y="0"/>
                      <a:ext cx="6169025" cy="8739505"/>
                    </a:xfrm>
                    <a:prstGeom prst="rect">
                      <a:avLst/>
                    </a:prstGeom>
                    <a:noFill/>
                    <a:ln>
                      <a:noFill/>
                    </a:ln>
                  </pic:spPr>
                </pic:pic>
              </a:graphicData>
            </a:graphic>
          </wp:inline>
        </w:drawing>
      </w:r>
      <w:r>
        <w:drawing>
          <wp:inline distT="0" distB="0" distL="114300" distR="114300">
            <wp:extent cx="6070600" cy="8670925"/>
            <wp:effectExtent l="0" t="0" r="6350" b="15875"/>
            <wp:docPr id="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pic:cNvPicPr>
                      <a:picLocks noChangeAspect="1"/>
                    </pic:cNvPicPr>
                  </pic:nvPicPr>
                  <pic:blipFill>
                    <a:blip r:embed="rId42"/>
                    <a:stretch>
                      <a:fillRect/>
                    </a:stretch>
                  </pic:blipFill>
                  <pic:spPr>
                    <a:xfrm>
                      <a:off x="0" y="0"/>
                      <a:ext cx="6070600" cy="8670925"/>
                    </a:xfrm>
                    <a:prstGeom prst="rect">
                      <a:avLst/>
                    </a:prstGeom>
                    <a:noFill/>
                    <a:ln>
                      <a:noFill/>
                    </a:ln>
                  </pic:spPr>
                </pic:pic>
              </a:graphicData>
            </a:graphic>
          </wp:inline>
        </w:drawing>
      </w:r>
      <w:r>
        <w:drawing>
          <wp:inline distT="0" distB="0" distL="114300" distR="114300">
            <wp:extent cx="6177280" cy="8299450"/>
            <wp:effectExtent l="0" t="0" r="13970" b="6350"/>
            <wp:docPr id="2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0"/>
                    <pic:cNvPicPr>
                      <a:picLocks noChangeAspect="1"/>
                    </pic:cNvPicPr>
                  </pic:nvPicPr>
                  <pic:blipFill>
                    <a:blip r:embed="rId43"/>
                    <a:stretch>
                      <a:fillRect/>
                    </a:stretch>
                  </pic:blipFill>
                  <pic:spPr>
                    <a:xfrm>
                      <a:off x="0" y="0"/>
                      <a:ext cx="6177280" cy="8299450"/>
                    </a:xfrm>
                    <a:prstGeom prst="rect">
                      <a:avLst/>
                    </a:prstGeom>
                    <a:noFill/>
                    <a:ln>
                      <a:noFill/>
                    </a:ln>
                  </pic:spPr>
                </pic:pic>
              </a:graphicData>
            </a:graphic>
          </wp:inline>
        </w:drawing>
      </w:r>
      <w:r>
        <w:drawing>
          <wp:inline distT="0" distB="0" distL="114300" distR="114300">
            <wp:extent cx="6131560" cy="8748395"/>
            <wp:effectExtent l="0" t="0" r="2540" b="14605"/>
            <wp:docPr id="3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1"/>
                    <pic:cNvPicPr>
                      <a:picLocks noChangeAspect="1"/>
                    </pic:cNvPicPr>
                  </pic:nvPicPr>
                  <pic:blipFill>
                    <a:blip r:embed="rId44"/>
                    <a:stretch>
                      <a:fillRect/>
                    </a:stretch>
                  </pic:blipFill>
                  <pic:spPr>
                    <a:xfrm>
                      <a:off x="0" y="0"/>
                      <a:ext cx="6131560" cy="8748395"/>
                    </a:xfrm>
                    <a:prstGeom prst="rect">
                      <a:avLst/>
                    </a:prstGeom>
                    <a:noFill/>
                    <a:ln>
                      <a:noFill/>
                    </a:ln>
                  </pic:spPr>
                </pic:pic>
              </a:graphicData>
            </a:graphic>
          </wp:inline>
        </w:drawing>
      </w:r>
      <w:r>
        <w:drawing>
          <wp:inline distT="0" distB="0" distL="114300" distR="114300">
            <wp:extent cx="5921375" cy="8214360"/>
            <wp:effectExtent l="0" t="0" r="3175" b="15240"/>
            <wp:docPr id="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pic:cNvPicPr>
                  </pic:nvPicPr>
                  <pic:blipFill>
                    <a:blip r:embed="rId45"/>
                    <a:stretch>
                      <a:fillRect/>
                    </a:stretch>
                  </pic:blipFill>
                  <pic:spPr>
                    <a:xfrm>
                      <a:off x="0" y="0"/>
                      <a:ext cx="5921375" cy="8214360"/>
                    </a:xfrm>
                    <a:prstGeom prst="rect">
                      <a:avLst/>
                    </a:prstGeom>
                    <a:noFill/>
                    <a:ln>
                      <a:noFill/>
                    </a:ln>
                  </pic:spPr>
                </pic:pic>
              </a:graphicData>
            </a:graphic>
          </wp:inline>
        </w:drawing>
      </w:r>
      <w:r>
        <w:drawing>
          <wp:inline distT="0" distB="0" distL="114300" distR="114300">
            <wp:extent cx="6115050" cy="8681720"/>
            <wp:effectExtent l="0" t="0" r="0" b="5080"/>
            <wp:docPr id="4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3"/>
                    <pic:cNvPicPr>
                      <a:picLocks noChangeAspect="1"/>
                    </pic:cNvPicPr>
                  </pic:nvPicPr>
                  <pic:blipFill>
                    <a:blip r:embed="rId46"/>
                    <a:stretch>
                      <a:fillRect/>
                    </a:stretch>
                  </pic:blipFill>
                  <pic:spPr>
                    <a:xfrm>
                      <a:off x="0" y="0"/>
                      <a:ext cx="6115050" cy="8681720"/>
                    </a:xfrm>
                    <a:prstGeom prst="rect">
                      <a:avLst/>
                    </a:prstGeom>
                    <a:noFill/>
                    <a:ln>
                      <a:noFill/>
                    </a:ln>
                  </pic:spPr>
                </pic:pic>
              </a:graphicData>
            </a:graphic>
          </wp:inline>
        </w:drawing>
      </w:r>
      <w:r>
        <w:drawing>
          <wp:inline distT="0" distB="0" distL="114300" distR="114300">
            <wp:extent cx="5935345" cy="8303260"/>
            <wp:effectExtent l="0" t="0" r="8255" b="2540"/>
            <wp:docPr id="4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4"/>
                    <pic:cNvPicPr>
                      <a:picLocks noChangeAspect="1"/>
                    </pic:cNvPicPr>
                  </pic:nvPicPr>
                  <pic:blipFill>
                    <a:blip r:embed="rId47"/>
                    <a:stretch>
                      <a:fillRect/>
                    </a:stretch>
                  </pic:blipFill>
                  <pic:spPr>
                    <a:xfrm>
                      <a:off x="0" y="0"/>
                      <a:ext cx="5935345" cy="8303260"/>
                    </a:xfrm>
                    <a:prstGeom prst="rect">
                      <a:avLst/>
                    </a:prstGeom>
                    <a:noFill/>
                    <a:ln>
                      <a:noFill/>
                    </a:ln>
                  </pic:spPr>
                </pic:pic>
              </a:graphicData>
            </a:graphic>
          </wp:inline>
        </w:drawing>
      </w:r>
      <w:r>
        <w:drawing>
          <wp:inline distT="0" distB="0" distL="114300" distR="114300">
            <wp:extent cx="5878195" cy="8333105"/>
            <wp:effectExtent l="0" t="0" r="8255" b="10795"/>
            <wp:docPr id="4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6"/>
                    <pic:cNvPicPr>
                      <a:picLocks noChangeAspect="1"/>
                    </pic:cNvPicPr>
                  </pic:nvPicPr>
                  <pic:blipFill>
                    <a:blip r:embed="rId48"/>
                    <a:stretch>
                      <a:fillRect/>
                    </a:stretch>
                  </pic:blipFill>
                  <pic:spPr>
                    <a:xfrm>
                      <a:off x="0" y="0"/>
                      <a:ext cx="5878195" cy="8333105"/>
                    </a:xfrm>
                    <a:prstGeom prst="rect">
                      <a:avLst/>
                    </a:prstGeom>
                    <a:noFill/>
                    <a:ln>
                      <a:noFill/>
                    </a:ln>
                  </pic:spPr>
                </pic:pic>
              </a:graphicData>
            </a:graphic>
          </wp:inline>
        </w:drawing>
      </w:r>
      <w:r>
        <w:drawing>
          <wp:inline distT="0" distB="0" distL="114300" distR="114300">
            <wp:extent cx="5992495" cy="8696960"/>
            <wp:effectExtent l="0" t="0" r="8255" b="8890"/>
            <wp:docPr id="4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5"/>
                    <pic:cNvPicPr>
                      <a:picLocks noChangeAspect="1"/>
                    </pic:cNvPicPr>
                  </pic:nvPicPr>
                  <pic:blipFill>
                    <a:blip r:embed="rId49"/>
                    <a:stretch>
                      <a:fillRect/>
                    </a:stretch>
                  </pic:blipFill>
                  <pic:spPr>
                    <a:xfrm>
                      <a:off x="0" y="0"/>
                      <a:ext cx="5992495" cy="8696960"/>
                    </a:xfrm>
                    <a:prstGeom prst="rect">
                      <a:avLst/>
                    </a:prstGeom>
                    <a:noFill/>
                    <a:ln>
                      <a:noFill/>
                    </a:ln>
                  </pic:spPr>
                </pic:pic>
              </a:graphicData>
            </a:graphic>
          </wp:inline>
        </w:drawing>
      </w:r>
      <w:r>
        <w:drawing>
          <wp:inline distT="0" distB="0" distL="114300" distR="114300">
            <wp:extent cx="5913120" cy="8255635"/>
            <wp:effectExtent l="0" t="0" r="11430" b="12065"/>
            <wp:docPr id="4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7"/>
                    <pic:cNvPicPr>
                      <a:picLocks noChangeAspect="1"/>
                    </pic:cNvPicPr>
                  </pic:nvPicPr>
                  <pic:blipFill>
                    <a:blip r:embed="rId50"/>
                    <a:stretch>
                      <a:fillRect/>
                    </a:stretch>
                  </pic:blipFill>
                  <pic:spPr>
                    <a:xfrm>
                      <a:off x="0" y="0"/>
                      <a:ext cx="5913120" cy="8255635"/>
                    </a:xfrm>
                    <a:prstGeom prst="rect">
                      <a:avLst/>
                    </a:prstGeom>
                    <a:noFill/>
                    <a:ln>
                      <a:noFill/>
                    </a:ln>
                  </pic:spPr>
                </pic:pic>
              </a:graphicData>
            </a:graphic>
          </wp:inline>
        </w:drawing>
      </w:r>
      <w:r>
        <w:drawing>
          <wp:inline distT="0" distB="0" distL="114300" distR="114300">
            <wp:extent cx="5872480" cy="8572500"/>
            <wp:effectExtent l="0" t="0" r="13970" b="0"/>
            <wp:docPr id="4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8"/>
                    <pic:cNvPicPr>
                      <a:picLocks noChangeAspect="1"/>
                    </pic:cNvPicPr>
                  </pic:nvPicPr>
                  <pic:blipFill>
                    <a:blip r:embed="rId51"/>
                    <a:stretch>
                      <a:fillRect/>
                    </a:stretch>
                  </pic:blipFill>
                  <pic:spPr>
                    <a:xfrm>
                      <a:off x="0" y="0"/>
                      <a:ext cx="5872480" cy="8572500"/>
                    </a:xfrm>
                    <a:prstGeom prst="rect">
                      <a:avLst/>
                    </a:prstGeom>
                    <a:noFill/>
                    <a:ln>
                      <a:noFill/>
                    </a:ln>
                  </pic:spPr>
                </pic:pic>
              </a:graphicData>
            </a:graphic>
          </wp:inline>
        </w:drawing>
      </w:r>
      <w:r>
        <w:drawing>
          <wp:inline distT="0" distB="0" distL="114300" distR="114300">
            <wp:extent cx="5957570" cy="8388985"/>
            <wp:effectExtent l="0" t="0" r="5080" b="12065"/>
            <wp:docPr id="4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9"/>
                    <pic:cNvPicPr>
                      <a:picLocks noChangeAspect="1"/>
                    </pic:cNvPicPr>
                  </pic:nvPicPr>
                  <pic:blipFill>
                    <a:blip r:embed="rId52"/>
                    <a:stretch>
                      <a:fillRect/>
                    </a:stretch>
                  </pic:blipFill>
                  <pic:spPr>
                    <a:xfrm>
                      <a:off x="0" y="0"/>
                      <a:ext cx="5957570" cy="8388985"/>
                    </a:xfrm>
                    <a:prstGeom prst="rect">
                      <a:avLst/>
                    </a:prstGeom>
                    <a:noFill/>
                    <a:ln>
                      <a:noFill/>
                    </a:ln>
                  </pic:spPr>
                </pic:pic>
              </a:graphicData>
            </a:graphic>
          </wp:inline>
        </w:drawing>
      </w:r>
      <w:r>
        <w:drawing>
          <wp:inline distT="0" distB="0" distL="114300" distR="114300">
            <wp:extent cx="5795645" cy="8390890"/>
            <wp:effectExtent l="0" t="0" r="14605" b="10160"/>
            <wp:docPr id="4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0"/>
                    <pic:cNvPicPr>
                      <a:picLocks noChangeAspect="1"/>
                    </pic:cNvPicPr>
                  </pic:nvPicPr>
                  <pic:blipFill>
                    <a:blip r:embed="rId53"/>
                    <a:stretch>
                      <a:fillRect/>
                    </a:stretch>
                  </pic:blipFill>
                  <pic:spPr>
                    <a:xfrm>
                      <a:off x="0" y="0"/>
                      <a:ext cx="5795645" cy="8390890"/>
                    </a:xfrm>
                    <a:prstGeom prst="rect">
                      <a:avLst/>
                    </a:prstGeom>
                    <a:noFill/>
                    <a:ln>
                      <a:noFill/>
                    </a:ln>
                  </pic:spPr>
                </pic:pic>
              </a:graphicData>
            </a:graphic>
          </wp:inline>
        </w:drawing>
      </w:r>
      <w:r>
        <w:drawing>
          <wp:inline distT="0" distB="0" distL="114300" distR="114300">
            <wp:extent cx="5853430" cy="8208010"/>
            <wp:effectExtent l="0" t="0" r="13970" b="2540"/>
            <wp:docPr id="5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1"/>
                    <pic:cNvPicPr>
                      <a:picLocks noChangeAspect="1"/>
                    </pic:cNvPicPr>
                  </pic:nvPicPr>
                  <pic:blipFill>
                    <a:blip r:embed="rId54"/>
                    <a:stretch>
                      <a:fillRect/>
                    </a:stretch>
                  </pic:blipFill>
                  <pic:spPr>
                    <a:xfrm>
                      <a:off x="0" y="0"/>
                      <a:ext cx="5853430" cy="8208010"/>
                    </a:xfrm>
                    <a:prstGeom prst="rect">
                      <a:avLst/>
                    </a:prstGeom>
                    <a:noFill/>
                    <a:ln>
                      <a:noFill/>
                    </a:ln>
                  </pic:spPr>
                </pic:pic>
              </a:graphicData>
            </a:graphic>
          </wp:inline>
        </w:drawing>
      </w:r>
      <w:r>
        <w:drawing>
          <wp:inline distT="0" distB="0" distL="114300" distR="114300">
            <wp:extent cx="5785485" cy="7885430"/>
            <wp:effectExtent l="0" t="0" r="5715" b="1270"/>
            <wp:docPr id="5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2"/>
                    <pic:cNvPicPr>
                      <a:picLocks noChangeAspect="1"/>
                    </pic:cNvPicPr>
                  </pic:nvPicPr>
                  <pic:blipFill>
                    <a:blip r:embed="rId55"/>
                    <a:stretch>
                      <a:fillRect/>
                    </a:stretch>
                  </pic:blipFill>
                  <pic:spPr>
                    <a:xfrm>
                      <a:off x="0" y="0"/>
                      <a:ext cx="5785485" cy="7885430"/>
                    </a:xfrm>
                    <a:prstGeom prst="rect">
                      <a:avLst/>
                    </a:prstGeom>
                    <a:noFill/>
                    <a:ln>
                      <a:noFill/>
                    </a:ln>
                  </pic:spPr>
                </pic:pic>
              </a:graphicData>
            </a:graphic>
          </wp:inline>
        </w:drawing>
      </w:r>
      <w:r>
        <w:drawing>
          <wp:inline distT="0" distB="0" distL="114300" distR="114300">
            <wp:extent cx="5891530" cy="8441690"/>
            <wp:effectExtent l="0" t="0" r="13970" b="16510"/>
            <wp:docPr id="5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3"/>
                    <pic:cNvPicPr>
                      <a:picLocks noChangeAspect="1"/>
                    </pic:cNvPicPr>
                  </pic:nvPicPr>
                  <pic:blipFill>
                    <a:blip r:embed="rId56"/>
                    <a:stretch>
                      <a:fillRect/>
                    </a:stretch>
                  </pic:blipFill>
                  <pic:spPr>
                    <a:xfrm>
                      <a:off x="0" y="0"/>
                      <a:ext cx="5891530" cy="8441690"/>
                    </a:xfrm>
                    <a:prstGeom prst="rect">
                      <a:avLst/>
                    </a:prstGeom>
                    <a:noFill/>
                    <a:ln>
                      <a:noFill/>
                    </a:ln>
                  </pic:spPr>
                </pic:pic>
              </a:graphicData>
            </a:graphic>
          </wp:inline>
        </w:drawing>
      </w:r>
      <w:r>
        <w:drawing>
          <wp:inline distT="0" distB="0" distL="114300" distR="114300">
            <wp:extent cx="5868035" cy="7866380"/>
            <wp:effectExtent l="0" t="0" r="18415" b="1270"/>
            <wp:docPr id="5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4"/>
                    <pic:cNvPicPr>
                      <a:picLocks noChangeAspect="1"/>
                    </pic:cNvPicPr>
                  </pic:nvPicPr>
                  <pic:blipFill>
                    <a:blip r:embed="rId57"/>
                    <a:stretch>
                      <a:fillRect/>
                    </a:stretch>
                  </pic:blipFill>
                  <pic:spPr>
                    <a:xfrm>
                      <a:off x="0" y="0"/>
                      <a:ext cx="5868035" cy="7866380"/>
                    </a:xfrm>
                    <a:prstGeom prst="rect">
                      <a:avLst/>
                    </a:prstGeom>
                    <a:noFill/>
                    <a:ln>
                      <a:noFill/>
                    </a:ln>
                  </pic:spPr>
                </pic:pic>
              </a:graphicData>
            </a:graphic>
          </wp:inline>
        </w:drawing>
      </w:r>
    </w:p>
    <w:p w14:paraId="72DDF98E">
      <w:pPr>
        <w:rPr>
          <w:rFonts w:hint="eastAsia" w:ascii="Times New Roman" w:hAnsi="Times New Roman" w:eastAsia="仿宋" w:cs="Times New Roman"/>
          <w:b/>
          <w:bCs/>
          <w:color w:val="auto"/>
        </w:rPr>
      </w:pPr>
      <w:r>
        <w:rPr>
          <w:rFonts w:hint="eastAsia" w:ascii="Times New Roman" w:hAnsi="Times New Roman" w:eastAsia="仿宋" w:cs="Times New Roman"/>
          <w:b/>
          <w:bCs/>
          <w:color w:val="auto"/>
        </w:rPr>
        <w:br w:type="page"/>
      </w:r>
    </w:p>
    <w:p w14:paraId="7C06B241">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both"/>
        <w:textAlignment w:val="auto"/>
        <w:outlineLvl w:val="0"/>
        <w:rPr>
          <w:rFonts w:hint="default" w:eastAsia="仿宋" w:cs="Times New Roman"/>
          <w:b/>
          <w:bCs/>
          <w:color w:val="auto"/>
          <w:lang w:val="en-US" w:eastAsia="zh-CN"/>
        </w:rPr>
      </w:pPr>
      <w:r>
        <w:rPr>
          <w:rFonts w:hint="eastAsia" w:ascii="Times New Roman" w:hAnsi="Times New Roman" w:eastAsia="仿宋" w:cs="Times New Roman"/>
          <w:b/>
          <w:bCs/>
          <w:color w:val="auto"/>
        </w:rPr>
        <w:t>附件</w:t>
      </w:r>
      <w:r>
        <w:rPr>
          <w:rFonts w:hint="eastAsia" w:eastAsia="仿宋" w:cs="Times New Roman"/>
          <w:b/>
          <w:bCs/>
          <w:color w:val="auto"/>
          <w:lang w:val="en-US" w:eastAsia="zh-CN"/>
        </w:rPr>
        <w:t>7</w:t>
      </w:r>
      <w:r>
        <w:rPr>
          <w:rFonts w:hint="eastAsia" w:ascii="Times New Roman" w:hAnsi="Times New Roman" w:eastAsia="仿宋" w:cs="Times New Roman"/>
          <w:b/>
          <w:bCs/>
          <w:color w:val="auto"/>
        </w:rPr>
        <w:t xml:space="preserve"> </w:t>
      </w:r>
      <w:r>
        <w:rPr>
          <w:rFonts w:hint="eastAsia" w:eastAsia="仿宋" w:cs="Times New Roman"/>
          <w:b/>
          <w:bCs/>
          <w:color w:val="auto"/>
          <w:lang w:val="en-US" w:eastAsia="zh-CN"/>
        </w:rPr>
        <w:t>专家意见</w:t>
      </w:r>
    </w:p>
    <w:p w14:paraId="0C61D340">
      <w:pPr>
        <w:pStyle w:val="14"/>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center"/>
        <w:textAlignment w:val="auto"/>
        <w:rPr>
          <w:rFonts w:hint="eastAsia"/>
        </w:rPr>
      </w:pPr>
      <w:r>
        <w:drawing>
          <wp:inline distT="0" distB="0" distL="114300" distR="114300">
            <wp:extent cx="6116320" cy="8379460"/>
            <wp:effectExtent l="0" t="0" r="0" b="0"/>
            <wp:docPr id="5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5"/>
                    <pic:cNvPicPr>
                      <a:picLocks noChangeAspect="1"/>
                    </pic:cNvPicPr>
                  </pic:nvPicPr>
                  <pic:blipFill>
                    <a:blip r:embed="rId58"/>
                    <a:srcRect t="3154" b="2481"/>
                    <a:stretch>
                      <a:fillRect/>
                    </a:stretch>
                  </pic:blipFill>
                  <pic:spPr>
                    <a:xfrm>
                      <a:off x="0" y="0"/>
                      <a:ext cx="6116320" cy="8379460"/>
                    </a:xfrm>
                    <a:prstGeom prst="rect">
                      <a:avLst/>
                    </a:prstGeom>
                    <a:noFill/>
                    <a:ln>
                      <a:noFill/>
                    </a:ln>
                  </pic:spPr>
                </pic:pic>
              </a:graphicData>
            </a:graphic>
          </wp:inline>
        </w:drawing>
      </w:r>
      <w:r>
        <w:drawing>
          <wp:inline distT="0" distB="0" distL="114300" distR="114300">
            <wp:extent cx="6114415" cy="8926830"/>
            <wp:effectExtent l="0" t="0" r="635" b="7620"/>
            <wp:docPr id="5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6"/>
                    <pic:cNvPicPr>
                      <a:picLocks noChangeAspect="1"/>
                    </pic:cNvPicPr>
                  </pic:nvPicPr>
                  <pic:blipFill>
                    <a:blip r:embed="rId59"/>
                    <a:stretch>
                      <a:fillRect/>
                    </a:stretch>
                  </pic:blipFill>
                  <pic:spPr>
                    <a:xfrm>
                      <a:off x="0" y="0"/>
                      <a:ext cx="6114415" cy="8926830"/>
                    </a:xfrm>
                    <a:prstGeom prst="rect">
                      <a:avLst/>
                    </a:prstGeom>
                    <a:noFill/>
                    <a:ln>
                      <a:noFill/>
                    </a:ln>
                  </pic:spPr>
                </pic:pic>
              </a:graphicData>
            </a:graphic>
          </wp:inline>
        </w:drawing>
      </w:r>
      <w:r>
        <w:drawing>
          <wp:inline distT="0" distB="0" distL="114300" distR="114300">
            <wp:extent cx="6118860" cy="8719185"/>
            <wp:effectExtent l="0" t="0" r="15240" b="5715"/>
            <wp:docPr id="5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7"/>
                    <pic:cNvPicPr>
                      <a:picLocks noChangeAspect="1"/>
                    </pic:cNvPicPr>
                  </pic:nvPicPr>
                  <pic:blipFill>
                    <a:blip r:embed="rId60"/>
                    <a:stretch>
                      <a:fillRect/>
                    </a:stretch>
                  </pic:blipFill>
                  <pic:spPr>
                    <a:xfrm>
                      <a:off x="0" y="0"/>
                      <a:ext cx="6118860" cy="8719185"/>
                    </a:xfrm>
                    <a:prstGeom prst="rect">
                      <a:avLst/>
                    </a:prstGeom>
                    <a:noFill/>
                    <a:ln>
                      <a:noFill/>
                    </a:ln>
                  </pic:spPr>
                </pic:pic>
              </a:graphicData>
            </a:graphic>
          </wp:inline>
        </w:drawing>
      </w:r>
      <w:r>
        <w:drawing>
          <wp:inline distT="0" distB="0" distL="114300" distR="114300">
            <wp:extent cx="6116320" cy="9250045"/>
            <wp:effectExtent l="0" t="0" r="17780" b="8255"/>
            <wp:docPr id="5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8"/>
                    <pic:cNvPicPr>
                      <a:picLocks noChangeAspect="1"/>
                    </pic:cNvPicPr>
                  </pic:nvPicPr>
                  <pic:blipFill>
                    <a:blip r:embed="rId61"/>
                    <a:stretch>
                      <a:fillRect/>
                    </a:stretch>
                  </pic:blipFill>
                  <pic:spPr>
                    <a:xfrm>
                      <a:off x="0" y="0"/>
                      <a:ext cx="6116320" cy="9250045"/>
                    </a:xfrm>
                    <a:prstGeom prst="rect">
                      <a:avLst/>
                    </a:prstGeom>
                    <a:noFill/>
                    <a:ln>
                      <a:noFill/>
                    </a:ln>
                  </pic:spPr>
                </pic:pic>
              </a:graphicData>
            </a:graphic>
          </wp:inline>
        </w:drawing>
      </w:r>
    </w:p>
    <w:sectPr>
      <w:footerReference r:id="rId6" w:type="default"/>
      <w:pgSz w:w="11906" w:h="16838"/>
      <w:pgMar w:top="1440" w:right="1134" w:bottom="1440" w:left="1134"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imesNewRomanPS-BoldMT">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TimesNewRomanPSMT">
    <w:altName w:val="Times New Roman"/>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694DF">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C736A0">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8C736A0">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AB541">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AC105">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2B6D0">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7A9F13"/>
    <w:multiLevelType w:val="singleLevel"/>
    <w:tmpl w:val="347A9F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VerticalSpacing w:val="16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xN2Y5ZWI5ZDM2MmFiZjNhMWVmMTI3NmU3NDMyMTkifQ=="/>
  </w:docVars>
  <w:rsids>
    <w:rsidRoot w:val="2BD41DBC"/>
    <w:rsid w:val="001302C4"/>
    <w:rsid w:val="00477682"/>
    <w:rsid w:val="005F410E"/>
    <w:rsid w:val="007022B6"/>
    <w:rsid w:val="00741184"/>
    <w:rsid w:val="00C23658"/>
    <w:rsid w:val="00C534F2"/>
    <w:rsid w:val="00EC1E6E"/>
    <w:rsid w:val="02A4208D"/>
    <w:rsid w:val="02E6432A"/>
    <w:rsid w:val="04E6106A"/>
    <w:rsid w:val="0531235E"/>
    <w:rsid w:val="06431514"/>
    <w:rsid w:val="08241E70"/>
    <w:rsid w:val="09874D6A"/>
    <w:rsid w:val="104253DD"/>
    <w:rsid w:val="136F0F88"/>
    <w:rsid w:val="147B2B25"/>
    <w:rsid w:val="14F115EC"/>
    <w:rsid w:val="18320F40"/>
    <w:rsid w:val="18AF200B"/>
    <w:rsid w:val="194F50EC"/>
    <w:rsid w:val="1CD04DA2"/>
    <w:rsid w:val="1CFE40A9"/>
    <w:rsid w:val="1FE120CA"/>
    <w:rsid w:val="223C1DF0"/>
    <w:rsid w:val="24211A94"/>
    <w:rsid w:val="25413653"/>
    <w:rsid w:val="25754238"/>
    <w:rsid w:val="25E0697D"/>
    <w:rsid w:val="28E66176"/>
    <w:rsid w:val="2BD41DBC"/>
    <w:rsid w:val="2C4C3DF6"/>
    <w:rsid w:val="2F7A224B"/>
    <w:rsid w:val="33DD6636"/>
    <w:rsid w:val="3546342E"/>
    <w:rsid w:val="37337B73"/>
    <w:rsid w:val="388A21A7"/>
    <w:rsid w:val="39AC1C38"/>
    <w:rsid w:val="3A37257A"/>
    <w:rsid w:val="3AF004FD"/>
    <w:rsid w:val="42504B90"/>
    <w:rsid w:val="42F34D85"/>
    <w:rsid w:val="4488151D"/>
    <w:rsid w:val="464A587D"/>
    <w:rsid w:val="48162B6A"/>
    <w:rsid w:val="4A9D7FE3"/>
    <w:rsid w:val="50297166"/>
    <w:rsid w:val="521D3E18"/>
    <w:rsid w:val="53074794"/>
    <w:rsid w:val="54EE7E17"/>
    <w:rsid w:val="56F30E1E"/>
    <w:rsid w:val="59D6192F"/>
    <w:rsid w:val="5FB6292E"/>
    <w:rsid w:val="600A6030"/>
    <w:rsid w:val="619C14E9"/>
    <w:rsid w:val="63414189"/>
    <w:rsid w:val="69341C57"/>
    <w:rsid w:val="69653029"/>
    <w:rsid w:val="69B971C4"/>
    <w:rsid w:val="6B5175AF"/>
    <w:rsid w:val="6EF842F2"/>
    <w:rsid w:val="70BD374B"/>
    <w:rsid w:val="712330FB"/>
    <w:rsid w:val="73E423F3"/>
    <w:rsid w:val="74FF6A75"/>
    <w:rsid w:val="7806077F"/>
    <w:rsid w:val="79D23B1F"/>
    <w:rsid w:val="7A356A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adjustRightInd w:val="0"/>
    </w:pPr>
    <w:rPr>
      <w:rFonts w:ascii="Times New Roman" w:hAnsi="Times New Roman" w:cs="Times New Roman" w:eastAsiaTheme="minorEastAsia"/>
      <w:sz w:val="24"/>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标号正文"/>
    <w:basedOn w:val="1"/>
    <w:next w:val="1"/>
    <w:qFormat/>
    <w:uiPriority w:val="0"/>
    <w:pPr>
      <w:tabs>
        <w:tab w:val="left" w:pos="1540"/>
      </w:tabs>
      <w:overflowPunct w:val="0"/>
      <w:snapToGrid w:val="0"/>
      <w:spacing w:line="360" w:lineRule="auto"/>
      <w:ind w:firstLine="1040"/>
      <w:jc w:val="left"/>
    </w:pPr>
    <w:rPr>
      <w:rFonts w:ascii="Arial" w:hAnsi="Arial" w:eastAsia="宋体" w:cs="Times New Roman"/>
      <w:sz w:val="24"/>
      <w:szCs w:val="20"/>
    </w:rPr>
  </w:style>
  <w:style w:type="paragraph" w:styleId="4">
    <w:name w:val="Body Text"/>
    <w:basedOn w:val="1"/>
    <w:qFormat/>
    <w:uiPriority w:val="1"/>
    <w:pPr>
      <w:spacing w:before="69"/>
      <w:ind w:left="118"/>
    </w:pPr>
    <w:rPr>
      <w:rFonts w:ascii="宋体" w:eastAsia="宋体" w:cs="宋体"/>
      <w:sz w:val="21"/>
      <w:szCs w:val="21"/>
    </w:rPr>
  </w:style>
  <w:style w:type="paragraph" w:styleId="5">
    <w:name w:val="footer"/>
    <w:basedOn w:val="1"/>
    <w:unhideWhenUsed/>
    <w:qFormat/>
    <w:uiPriority w:val="99"/>
    <w:pPr>
      <w:tabs>
        <w:tab w:val="center" w:pos="4153"/>
        <w:tab w:val="right" w:pos="8306"/>
      </w:tabs>
      <w:snapToGrid w:val="0"/>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一"/>
    <w:basedOn w:val="1"/>
    <w:qFormat/>
    <w:uiPriority w:val="0"/>
    <w:pPr>
      <w:spacing w:line="500" w:lineRule="exact"/>
      <w:jc w:val="center"/>
      <w:outlineLvl w:val="0"/>
    </w:pPr>
    <w:rPr>
      <w:rFonts w:hint="eastAsia" w:ascii="宋体" w:hAnsi="宋体" w:eastAsia="宋体" w:cs="宋体"/>
      <w:b/>
      <w:bCs/>
      <w:sz w:val="32"/>
      <w:szCs w:val="32"/>
    </w:rPr>
  </w:style>
  <w:style w:type="paragraph" w:customStyle="1" w:styleId="11">
    <w:name w:val="1"/>
    <w:basedOn w:val="3"/>
    <w:next w:val="1"/>
    <w:qFormat/>
    <w:uiPriority w:val="0"/>
    <w:pPr>
      <w:spacing w:line="500" w:lineRule="exact"/>
      <w:outlineLvl w:val="1"/>
    </w:pPr>
    <w:rPr>
      <w:rFonts w:eastAsia="宋体"/>
      <w:bCs/>
      <w:kern w:val="0"/>
      <w:sz w:val="28"/>
      <w:szCs w:val="28"/>
    </w:rPr>
  </w:style>
  <w:style w:type="paragraph" w:customStyle="1" w:styleId="12">
    <w:name w:val="1.1"/>
    <w:basedOn w:val="1"/>
    <w:qFormat/>
    <w:uiPriority w:val="0"/>
    <w:pPr>
      <w:spacing w:line="500" w:lineRule="exact"/>
      <w:outlineLvl w:val="2"/>
    </w:pPr>
    <w:rPr>
      <w:rFonts w:eastAsia="宋体"/>
      <w:b/>
      <w:bCs/>
    </w:rPr>
  </w:style>
  <w:style w:type="paragraph" w:customStyle="1" w:styleId="13">
    <w:name w:val="wen"/>
    <w:basedOn w:val="1"/>
    <w:qFormat/>
    <w:uiPriority w:val="0"/>
    <w:rPr>
      <w:rFonts w:hint="eastAsia" w:ascii="Courier New" w:hAnsi="Courier New" w:eastAsia="仿宋" w:cs="Courier New"/>
      <w:color w:val="000000"/>
      <w:sz w:val="28"/>
      <w:lang w:val="zh-TW"/>
    </w:rPr>
  </w:style>
  <w:style w:type="paragraph" w:customStyle="1" w:styleId="14">
    <w:name w:val="Table Paragraph"/>
    <w:basedOn w:val="1"/>
    <w:qFormat/>
    <w:uiPriority w:val="1"/>
  </w:style>
  <w:style w:type="character" w:customStyle="1" w:styleId="15">
    <w:name w:val="fontstyle01"/>
    <w:basedOn w:val="9"/>
    <w:qFormat/>
    <w:uiPriority w:val="0"/>
    <w:rPr>
      <w:rFonts w:hint="eastAsia" w:ascii="宋体" w:hAnsi="宋体" w:eastAsia="宋体"/>
      <w:color w:val="000000"/>
      <w:sz w:val="22"/>
      <w:szCs w:val="22"/>
    </w:rPr>
  </w:style>
  <w:style w:type="paragraph" w:customStyle="1" w:styleId="16">
    <w:name w:val="Table Text"/>
    <w:basedOn w:val="1"/>
    <w:semiHidden/>
    <w:qFormat/>
    <w:uiPriority w:val="0"/>
    <w:rPr>
      <w:rFonts w:ascii="仿宋" w:hAnsi="仿宋" w:eastAsia="仿宋" w:cs="仿宋"/>
      <w:lang w:eastAsia="en-US"/>
    </w:rPr>
  </w:style>
  <w:style w:type="table" w:customStyle="1" w:styleId="17">
    <w:name w:val="Table Normal"/>
    <w:semiHidden/>
    <w:unhideWhenUsed/>
    <w:qFormat/>
    <w:uiPriority w:val="0"/>
    <w:tblPr>
      <w:tblCellMar>
        <w:top w:w="0" w:type="dxa"/>
        <w:left w:w="0" w:type="dxa"/>
        <w:bottom w:w="0" w:type="dxa"/>
        <w:right w:w="0" w:type="dxa"/>
      </w:tblCellMar>
    </w:tblPr>
  </w:style>
  <w:style w:type="character" w:customStyle="1" w:styleId="18">
    <w:name w:val="fontstyle21"/>
    <w:basedOn w:val="9"/>
    <w:qFormat/>
    <w:uiPriority w:val="0"/>
    <w:rPr>
      <w:rFonts w:ascii="TimesNewRomanPS-BoldMT" w:hAnsi="TimesNewRomanPS-BoldMT" w:eastAsia="TimesNewRomanPS-BoldMT" w:cs="TimesNewRomanPS-BoldMT"/>
      <w:b/>
      <w:bCs/>
      <w:color w:val="000000"/>
      <w:sz w:val="22"/>
      <w:szCs w:val="22"/>
    </w:rPr>
  </w:style>
  <w:style w:type="character" w:customStyle="1" w:styleId="19">
    <w:name w:val="fontstyle31"/>
    <w:basedOn w:val="9"/>
    <w:qFormat/>
    <w:uiPriority w:val="0"/>
    <w:rPr>
      <w:rFonts w:ascii="TimesNewRomanPSMT" w:hAnsi="TimesNewRomanPSMT" w:eastAsia="TimesNewRomanPSMT" w:cs="TimesNewRomanPSMT"/>
      <w:color w:val="000000"/>
      <w:sz w:val="18"/>
      <w:szCs w:val="18"/>
    </w:rPr>
  </w:style>
  <w:style w:type="character" w:customStyle="1" w:styleId="20">
    <w:name w:val="15"/>
    <w:basedOn w:val="9"/>
    <w:qFormat/>
    <w:uiPriority w:val="0"/>
    <w:rPr>
      <w:rFonts w:hint="eastAsia" w:ascii="宋体" w:hAnsi="宋体" w:eastAsia="宋体"/>
      <w:color w:val="000000"/>
      <w:sz w:val="22"/>
      <w:szCs w:val="22"/>
    </w:rPr>
  </w:style>
  <w:style w:type="character" w:customStyle="1" w:styleId="21">
    <w:name w:val="16"/>
    <w:basedOn w:val="9"/>
    <w:qFormat/>
    <w:uiPriority w:val="0"/>
    <w:rPr>
      <w:rFonts w:hint="default" w:ascii="TimesNewRomanPSMT" w:hAnsi="TimesNewRomanPSMT"/>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5" Type="http://schemas.openxmlformats.org/officeDocument/2006/relationships/fontTable" Target="fontTable.xml"/><Relationship Id="rId64" Type="http://schemas.openxmlformats.org/officeDocument/2006/relationships/customXml" Target="../customXml/item2.xml"/><Relationship Id="rId63" Type="http://schemas.openxmlformats.org/officeDocument/2006/relationships/numbering" Target="numbering.xml"/><Relationship Id="rId62" Type="http://schemas.openxmlformats.org/officeDocument/2006/relationships/customXml" Target="../customXml/item1.xml"/><Relationship Id="rId61" Type="http://schemas.openxmlformats.org/officeDocument/2006/relationships/image" Target="media/image54.png"/><Relationship Id="rId60" Type="http://schemas.openxmlformats.org/officeDocument/2006/relationships/image" Target="media/image53.png"/><Relationship Id="rId6" Type="http://schemas.openxmlformats.org/officeDocument/2006/relationships/footer" Target="footer2.xml"/><Relationship Id="rId59" Type="http://schemas.openxmlformats.org/officeDocument/2006/relationships/image" Target="media/image52.png"/><Relationship Id="rId58" Type="http://schemas.openxmlformats.org/officeDocument/2006/relationships/image" Target="media/image51.png"/><Relationship Id="rId57" Type="http://schemas.openxmlformats.org/officeDocument/2006/relationships/image" Target="media/image50.png"/><Relationship Id="rId56" Type="http://schemas.openxmlformats.org/officeDocument/2006/relationships/image" Target="media/image49.png"/><Relationship Id="rId55" Type="http://schemas.openxmlformats.org/officeDocument/2006/relationships/image" Target="media/image48.png"/><Relationship Id="rId54" Type="http://schemas.openxmlformats.org/officeDocument/2006/relationships/image" Target="media/image47.png"/><Relationship Id="rId53" Type="http://schemas.openxmlformats.org/officeDocument/2006/relationships/image" Target="media/image46.png"/><Relationship Id="rId52" Type="http://schemas.openxmlformats.org/officeDocument/2006/relationships/image" Target="media/image45.png"/><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footer" Target="footer1.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png"/><Relationship Id="rId46" Type="http://schemas.openxmlformats.org/officeDocument/2006/relationships/image" Target="media/image39.png"/><Relationship Id="rId45" Type="http://schemas.openxmlformats.org/officeDocument/2006/relationships/image" Target="media/image38.png"/><Relationship Id="rId44" Type="http://schemas.openxmlformats.org/officeDocument/2006/relationships/image" Target="media/image37.pn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header" Target="header2.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header" Target="head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3DDF0E-98DB-46E5-B8A4-2A9D67F2BDB8}">
  <ds:schemaRefs/>
</ds:datastoreItem>
</file>

<file path=docProps/app.xml><?xml version="1.0" encoding="utf-8"?>
<Properties xmlns="http://schemas.openxmlformats.org/officeDocument/2006/extended-properties" xmlns:vt="http://schemas.openxmlformats.org/officeDocument/2006/docPropsVTypes">
  <Template>Normal</Template>
  <Pages>78</Pages>
  <Words>3345</Words>
  <Characters>3866</Characters>
  <Lines>116</Lines>
  <Paragraphs>32</Paragraphs>
  <TotalTime>10</TotalTime>
  <ScaleCrop>false</ScaleCrop>
  <LinksUpToDate>false</LinksUpToDate>
  <CharactersWithSpaces>3929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2024-11-13T00:45:00Z</dcterms:created>
  <dc:creator>胖五。</dc:creator>
  <cp:lastModifiedBy>一树一菩提</cp:lastModifiedBy>
  <cp:lastPrinted>2026-09-09T10:12:03Z</cp:lastPrinted>
  <dcterms:modified xsi:type="dcterms:W3CDTF">2026-09-09T10:12:09Z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7CA2BBB108144BF8B230E522357BF2D1_13</vt:lpwstr>
  </property>
  <property fmtid="{D5CDD505-2E9C-101B-9397-08002B2CF9AE}" pid="4" name="KSOTemplateDocerSaveRecord">
    <vt:lpwstr>eyJoZGlkIjoiNmJhZmUyNTljNTU3YzlkYjg2MTNlMGMwY2E3YTVhMjkiLCJ1c2VySWQiOiIyMzUzMjIwMTEifQ==</vt:lpwstr>
  </property>
</Properties>
</file>